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4428" w:rsidRPr="00BB2388" w:rsidRDefault="00D64428" w:rsidP="00D64428">
      <w:pPr>
        <w:pStyle w:val="Header"/>
        <w:widowControl w:val="0"/>
        <w:pBdr>
          <w:bottom w:val="none" w:sz="0" w:space="0" w:color="auto"/>
        </w:pBdr>
        <w:tabs>
          <w:tab w:val="clear" w:pos="4153"/>
          <w:tab w:val="clear" w:pos="8306"/>
          <w:tab w:val="right" w:pos="9356"/>
        </w:tabs>
        <w:snapToGrid/>
        <w:spacing w:after="0"/>
        <w:rPr>
          <w:rFonts w:ascii="Arial" w:eastAsia="Times New Roman" w:hAnsi="Arial"/>
          <w:b/>
          <w:bCs/>
          <w:sz w:val="24"/>
          <w:szCs w:val="24"/>
          <w:lang w:eastAsia="en-US"/>
        </w:rPr>
      </w:pPr>
      <w:r w:rsidRPr="00BB2388">
        <w:rPr>
          <w:rFonts w:ascii="Arial" w:eastAsia="Times New Roman" w:hAnsi="Arial"/>
          <w:b/>
          <w:bCs/>
          <w:sz w:val="24"/>
          <w:szCs w:val="24"/>
          <w:lang w:eastAsia="en-US"/>
        </w:rPr>
        <w:t xml:space="preserve">3GPP TSG-RAN WG3 Meeting </w:t>
      </w:r>
      <w:r w:rsidR="007A29DE" w:rsidRPr="00BB2388">
        <w:rPr>
          <w:rFonts w:ascii="Arial" w:eastAsia="Times New Roman" w:hAnsi="Arial"/>
          <w:b/>
          <w:bCs/>
          <w:sz w:val="24"/>
          <w:szCs w:val="24"/>
          <w:lang w:eastAsia="en-US"/>
        </w:rPr>
        <w:t>#80</w:t>
      </w:r>
      <w:r w:rsidR="0008670A">
        <w:rPr>
          <w:rFonts w:ascii="Arial" w:eastAsia="Times New Roman" w:hAnsi="Arial"/>
          <w:b/>
          <w:bCs/>
          <w:sz w:val="24"/>
          <w:szCs w:val="24"/>
          <w:lang w:eastAsia="en-US"/>
        </w:rPr>
        <w:tab/>
        <w:t>R3-131061</w:t>
      </w:r>
    </w:p>
    <w:p w:rsidR="00D64428" w:rsidRPr="00BB2388" w:rsidRDefault="007A29DE" w:rsidP="00D64428">
      <w:pPr>
        <w:pStyle w:val="Header"/>
        <w:widowControl w:val="0"/>
        <w:pBdr>
          <w:bottom w:val="none" w:sz="0" w:space="0" w:color="auto"/>
        </w:pBdr>
        <w:tabs>
          <w:tab w:val="clear" w:pos="4153"/>
          <w:tab w:val="clear" w:pos="8306"/>
          <w:tab w:val="right" w:pos="9639"/>
        </w:tabs>
        <w:snapToGrid/>
        <w:spacing w:after="0"/>
        <w:rPr>
          <w:rFonts w:ascii="Arial" w:eastAsia="Times New Roman" w:hAnsi="Arial"/>
          <w:b/>
          <w:bCs/>
          <w:sz w:val="24"/>
          <w:szCs w:val="24"/>
          <w:lang w:eastAsia="en-US"/>
        </w:rPr>
      </w:pPr>
      <w:r w:rsidRPr="00BB2388">
        <w:rPr>
          <w:rFonts w:ascii="Arial" w:eastAsia="Times New Roman" w:hAnsi="Arial"/>
          <w:b/>
          <w:bCs/>
          <w:sz w:val="24"/>
          <w:szCs w:val="24"/>
          <w:lang w:eastAsia="en-US"/>
        </w:rPr>
        <w:t>Fukuoka, Japan</w:t>
      </w:r>
      <w:r w:rsidR="00D64428" w:rsidRPr="00BB2388">
        <w:rPr>
          <w:rFonts w:ascii="Arial" w:eastAsia="Times New Roman" w:hAnsi="Arial"/>
          <w:b/>
          <w:bCs/>
          <w:sz w:val="24"/>
          <w:szCs w:val="24"/>
          <w:lang w:eastAsia="en-US"/>
        </w:rPr>
        <w:t xml:space="preserve">, </w:t>
      </w:r>
      <w:r w:rsidRPr="00BB2388">
        <w:rPr>
          <w:rFonts w:ascii="Arial" w:eastAsia="Times New Roman" w:hAnsi="Arial"/>
          <w:b/>
          <w:bCs/>
          <w:sz w:val="24"/>
          <w:szCs w:val="24"/>
          <w:lang w:eastAsia="en-US"/>
        </w:rPr>
        <w:t>20</w:t>
      </w:r>
      <w:r w:rsidR="00D64428" w:rsidRPr="00BB2388">
        <w:rPr>
          <w:rFonts w:ascii="Arial" w:eastAsia="Times New Roman" w:hAnsi="Arial"/>
          <w:b/>
          <w:bCs/>
          <w:sz w:val="24"/>
          <w:szCs w:val="24"/>
          <w:vertAlign w:val="superscript"/>
          <w:lang w:eastAsia="en-US"/>
        </w:rPr>
        <w:t>th</w:t>
      </w:r>
      <w:r w:rsidR="0003347B" w:rsidRPr="00BB2388">
        <w:rPr>
          <w:rFonts w:ascii="Arial" w:eastAsia="Times New Roman" w:hAnsi="Arial"/>
          <w:b/>
          <w:bCs/>
          <w:sz w:val="24"/>
          <w:szCs w:val="24"/>
          <w:lang w:eastAsia="en-US"/>
        </w:rPr>
        <w:t xml:space="preserve"> </w:t>
      </w:r>
      <w:r w:rsidR="00D64428" w:rsidRPr="00BB2388">
        <w:rPr>
          <w:rFonts w:ascii="Arial" w:eastAsia="Times New Roman" w:hAnsi="Arial"/>
          <w:b/>
          <w:bCs/>
          <w:sz w:val="24"/>
          <w:szCs w:val="24"/>
          <w:lang w:eastAsia="en-US"/>
        </w:rPr>
        <w:t xml:space="preserve">– </w:t>
      </w:r>
      <w:r w:rsidRPr="00BB2388">
        <w:rPr>
          <w:rFonts w:ascii="Arial" w:eastAsia="Times New Roman" w:hAnsi="Arial"/>
          <w:b/>
          <w:bCs/>
          <w:sz w:val="24"/>
          <w:szCs w:val="24"/>
          <w:lang w:eastAsia="en-US"/>
        </w:rPr>
        <w:t>24</w:t>
      </w:r>
      <w:r w:rsidR="006E2DF6" w:rsidRPr="00BB2388">
        <w:rPr>
          <w:rFonts w:ascii="Arial" w:eastAsia="Times New Roman" w:hAnsi="Arial"/>
          <w:b/>
          <w:bCs/>
          <w:sz w:val="24"/>
          <w:szCs w:val="24"/>
          <w:vertAlign w:val="superscript"/>
          <w:lang w:eastAsia="en-US"/>
        </w:rPr>
        <w:t>th</w:t>
      </w:r>
      <w:r w:rsidR="006E2DF6" w:rsidRPr="00BB2388">
        <w:rPr>
          <w:rFonts w:ascii="Arial" w:eastAsia="Times New Roman" w:hAnsi="Arial"/>
          <w:b/>
          <w:bCs/>
          <w:sz w:val="24"/>
          <w:szCs w:val="24"/>
          <w:lang w:eastAsia="en-US"/>
        </w:rPr>
        <w:t xml:space="preserve"> </w:t>
      </w:r>
      <w:r w:rsidRPr="00BB2388">
        <w:rPr>
          <w:rFonts w:ascii="Arial" w:eastAsia="Times New Roman" w:hAnsi="Arial"/>
          <w:b/>
          <w:bCs/>
          <w:sz w:val="24"/>
          <w:szCs w:val="24"/>
          <w:lang w:eastAsia="en-US"/>
        </w:rPr>
        <w:t>May</w:t>
      </w:r>
      <w:r w:rsidR="00D64428" w:rsidRPr="00BB2388">
        <w:rPr>
          <w:rFonts w:ascii="Arial" w:eastAsia="Times New Roman" w:hAnsi="Arial"/>
          <w:b/>
          <w:bCs/>
          <w:sz w:val="24"/>
          <w:szCs w:val="24"/>
          <w:lang w:eastAsia="en-US"/>
        </w:rPr>
        <w:t xml:space="preserve"> 2013</w:t>
      </w:r>
      <w:r w:rsidR="00D64428" w:rsidRPr="00BB2388">
        <w:rPr>
          <w:rFonts w:ascii="Arial" w:eastAsia="Times New Roman" w:hAnsi="Arial"/>
          <w:b/>
          <w:bCs/>
          <w:sz w:val="24"/>
          <w:szCs w:val="24"/>
          <w:lang w:eastAsia="en-US"/>
        </w:rPr>
        <w:tab/>
      </w:r>
    </w:p>
    <w:p w:rsidR="00D64428" w:rsidRPr="00BB2388" w:rsidRDefault="00D64428" w:rsidP="00D64428">
      <w:pPr>
        <w:pStyle w:val="Header"/>
        <w:widowControl w:val="0"/>
        <w:pBdr>
          <w:bottom w:val="none" w:sz="0" w:space="0" w:color="auto"/>
        </w:pBdr>
        <w:tabs>
          <w:tab w:val="clear" w:pos="4153"/>
          <w:tab w:val="clear" w:pos="8306"/>
          <w:tab w:val="right" w:pos="9639"/>
        </w:tabs>
        <w:snapToGrid/>
        <w:spacing w:after="0"/>
        <w:jc w:val="left"/>
        <w:rPr>
          <w:rFonts w:ascii="Arial" w:eastAsia="Times New Roman" w:hAnsi="Arial"/>
          <w:b/>
          <w:bCs/>
          <w:sz w:val="24"/>
          <w:szCs w:val="24"/>
          <w:lang w:eastAsia="en-US"/>
        </w:rPr>
      </w:pPr>
    </w:p>
    <w:p w:rsidR="00D64428" w:rsidRPr="00BB2388" w:rsidRDefault="00D64428" w:rsidP="00746AB9">
      <w:pPr>
        <w:pStyle w:val="Header"/>
        <w:widowControl w:val="0"/>
        <w:pBdr>
          <w:bottom w:val="none" w:sz="0" w:space="0" w:color="auto"/>
        </w:pBdr>
        <w:tabs>
          <w:tab w:val="clear" w:pos="4153"/>
          <w:tab w:val="clear" w:pos="8306"/>
          <w:tab w:val="left" w:pos="1701"/>
          <w:tab w:val="right" w:pos="9639"/>
        </w:tabs>
        <w:snapToGrid/>
        <w:spacing w:after="0"/>
        <w:jc w:val="left"/>
        <w:rPr>
          <w:rFonts w:ascii="Arial" w:eastAsia="Times New Roman" w:hAnsi="Arial"/>
          <w:b/>
          <w:bCs/>
          <w:sz w:val="24"/>
          <w:szCs w:val="24"/>
          <w:lang w:eastAsia="en-US"/>
        </w:rPr>
      </w:pPr>
      <w:r w:rsidRPr="00BB2388">
        <w:rPr>
          <w:rFonts w:ascii="Arial" w:eastAsia="Times New Roman" w:hAnsi="Arial"/>
          <w:b/>
          <w:bCs/>
          <w:sz w:val="24"/>
          <w:szCs w:val="24"/>
          <w:lang w:eastAsia="en-US"/>
        </w:rPr>
        <w:t xml:space="preserve">Agenda item: </w:t>
      </w:r>
      <w:r w:rsidR="006E2DF6" w:rsidRPr="00BB2388">
        <w:rPr>
          <w:rFonts w:ascii="Arial" w:eastAsia="Times New Roman" w:hAnsi="Arial"/>
          <w:b/>
          <w:bCs/>
          <w:sz w:val="24"/>
          <w:szCs w:val="24"/>
          <w:lang w:eastAsia="en-US"/>
        </w:rPr>
        <w:tab/>
        <w:t>13.1</w:t>
      </w:r>
    </w:p>
    <w:p w:rsidR="00746AB9" w:rsidRPr="00BB2388" w:rsidRDefault="00746AB9" w:rsidP="00746AB9">
      <w:pPr>
        <w:pStyle w:val="Header"/>
        <w:widowControl w:val="0"/>
        <w:pBdr>
          <w:bottom w:val="none" w:sz="0" w:space="0" w:color="auto"/>
        </w:pBdr>
        <w:tabs>
          <w:tab w:val="clear" w:pos="4153"/>
          <w:tab w:val="clear" w:pos="8306"/>
          <w:tab w:val="left" w:pos="1701"/>
          <w:tab w:val="right" w:pos="9639"/>
        </w:tabs>
        <w:snapToGrid/>
        <w:spacing w:after="0"/>
        <w:jc w:val="left"/>
        <w:rPr>
          <w:rFonts w:ascii="Arial" w:eastAsia="Times New Roman" w:hAnsi="Arial"/>
          <w:b/>
          <w:bCs/>
          <w:sz w:val="24"/>
          <w:szCs w:val="24"/>
          <w:lang w:eastAsia="en-US"/>
        </w:rPr>
      </w:pPr>
    </w:p>
    <w:p w:rsidR="00DC4196" w:rsidRPr="00BB2388" w:rsidRDefault="00DC4196" w:rsidP="005D0A63">
      <w:pPr>
        <w:pStyle w:val="3GPPHeader"/>
        <w:rPr>
          <w:rFonts w:ascii="Arial" w:hAnsi="Arial" w:cs="Arial"/>
        </w:rPr>
      </w:pPr>
      <w:r w:rsidRPr="00BB2388">
        <w:rPr>
          <w:rFonts w:ascii="Arial" w:hAnsi="Arial" w:cs="Arial"/>
        </w:rPr>
        <w:t xml:space="preserve">Source: </w:t>
      </w:r>
      <w:r w:rsidRPr="00BB2388">
        <w:rPr>
          <w:rFonts w:ascii="Arial" w:hAnsi="Arial" w:cs="Arial"/>
        </w:rPr>
        <w:tab/>
      </w:r>
      <w:r w:rsidR="00087B1C" w:rsidRPr="00BB2388">
        <w:rPr>
          <w:rFonts w:ascii="Arial" w:hAnsi="Arial" w:cs="Arial"/>
        </w:rPr>
        <w:t>Nokia Siemens Networks</w:t>
      </w:r>
    </w:p>
    <w:p w:rsidR="001159F2" w:rsidRPr="00BB2388" w:rsidRDefault="00DC4196" w:rsidP="008F3999">
      <w:pPr>
        <w:pStyle w:val="3GPPHeader"/>
        <w:ind w:left="1695" w:hanging="1695"/>
        <w:rPr>
          <w:rFonts w:ascii="Arial" w:hAnsi="Arial" w:cs="Arial"/>
        </w:rPr>
      </w:pPr>
      <w:r w:rsidRPr="00BB2388">
        <w:rPr>
          <w:rFonts w:ascii="Arial" w:hAnsi="Arial" w:cs="Arial"/>
        </w:rPr>
        <w:t xml:space="preserve">Title:  </w:t>
      </w:r>
      <w:r w:rsidRPr="00BB2388">
        <w:rPr>
          <w:rFonts w:ascii="Arial" w:hAnsi="Arial" w:cs="Arial"/>
        </w:rPr>
        <w:tab/>
      </w:r>
      <w:r w:rsidR="006D79BD">
        <w:rPr>
          <w:rFonts w:ascii="Arial" w:hAnsi="Arial" w:cs="Arial"/>
        </w:rPr>
        <w:t>Response to R3-130966</w:t>
      </w:r>
    </w:p>
    <w:p w:rsidR="004F1A79" w:rsidRPr="00BB2388" w:rsidRDefault="00DC4196" w:rsidP="008F3999">
      <w:pPr>
        <w:pStyle w:val="3GPPHeader"/>
        <w:ind w:left="1695" w:hanging="1695"/>
        <w:rPr>
          <w:rFonts w:ascii="Arial" w:hAnsi="Arial" w:cs="Arial"/>
        </w:rPr>
      </w:pPr>
      <w:r w:rsidRPr="00BB2388">
        <w:rPr>
          <w:rFonts w:ascii="Arial" w:hAnsi="Arial" w:cs="Arial"/>
        </w:rPr>
        <w:t>Do</w:t>
      </w:r>
      <w:r w:rsidR="00094347" w:rsidRPr="00BB2388">
        <w:rPr>
          <w:rFonts w:ascii="Arial" w:hAnsi="Arial" w:cs="Arial"/>
        </w:rPr>
        <w:t>cument for:</w:t>
      </w:r>
      <w:r w:rsidR="00094347" w:rsidRPr="00BB2388">
        <w:rPr>
          <w:rFonts w:ascii="Arial" w:hAnsi="Arial" w:cs="Arial"/>
        </w:rPr>
        <w:tab/>
        <w:t>Discussion</w:t>
      </w:r>
      <w:r w:rsidR="005742E8">
        <w:rPr>
          <w:rFonts w:ascii="Arial" w:hAnsi="Arial" w:cs="Arial"/>
        </w:rPr>
        <w:t xml:space="preserve"> and decision</w:t>
      </w:r>
    </w:p>
    <w:p w:rsidR="00E250A8" w:rsidRPr="00BB2388" w:rsidRDefault="00E250A8" w:rsidP="002446F4">
      <w:pPr>
        <w:pStyle w:val="Heading1"/>
        <w:numPr>
          <w:ilvl w:val="0"/>
          <w:numId w:val="2"/>
        </w:numPr>
      </w:pPr>
      <w:r w:rsidRPr="00BB2388">
        <w:t>Introduction</w:t>
      </w:r>
    </w:p>
    <w:p w:rsidR="005742E8" w:rsidRPr="00BB2388" w:rsidRDefault="001D629F" w:rsidP="007E343C">
      <w:pPr>
        <w:spacing w:after="0"/>
      </w:pPr>
      <w:r>
        <w:t xml:space="preserve">In </w:t>
      </w:r>
      <w:r w:rsidR="002D52A8">
        <w:t xml:space="preserve">R3-130966 [1] </w:t>
      </w:r>
      <w:r>
        <w:t xml:space="preserve">Alcatel-Lucent </w:t>
      </w:r>
      <w:r w:rsidR="002D52A8">
        <w:t xml:space="preserve">report </w:t>
      </w:r>
      <w:r w:rsidR="00CE01AE">
        <w:t xml:space="preserve">some </w:t>
      </w:r>
      <w:r w:rsidR="002D52A8">
        <w:t>open issues related to the finalization work for introducin</w:t>
      </w:r>
      <w:r w:rsidR="00CE01AE">
        <w:t xml:space="preserve">g HNB-HNB and HNB-RNC CELL_FACH, </w:t>
      </w:r>
      <w:r w:rsidR="002D52A8">
        <w:t>CELL_</w:t>
      </w:r>
      <w:r w:rsidR="00CE01AE">
        <w:t xml:space="preserve">PCH and </w:t>
      </w:r>
      <w:r w:rsidR="002D52A8">
        <w:t xml:space="preserve">URA_PCH mobility </w:t>
      </w:r>
      <w:r w:rsidR="00CE01AE">
        <w:t>support</w:t>
      </w:r>
      <w:r w:rsidR="005742E8">
        <w:t>.</w:t>
      </w:r>
      <w:r w:rsidR="002D52A8">
        <w:t xml:space="preserve"> </w:t>
      </w:r>
      <w:r w:rsidR="00CE01AE">
        <w:t>T</w:t>
      </w:r>
      <w:r w:rsidR="002D52A8">
        <w:t>his discussion paper addresses the open issues mentioned in [1]</w:t>
      </w:r>
      <w:r w:rsidR="00CE01AE">
        <w:t xml:space="preserve"> in order to clarify the proposed changes in the related CRs [3, 4] and accelerate the agreement process.</w:t>
      </w:r>
    </w:p>
    <w:p w:rsidR="0001754D" w:rsidRDefault="008243D2" w:rsidP="0001754D">
      <w:pPr>
        <w:pStyle w:val="Heading1"/>
        <w:numPr>
          <w:ilvl w:val="0"/>
          <w:numId w:val="2"/>
        </w:numPr>
      </w:pPr>
      <w:r>
        <w:t>Open issues as in [1]</w:t>
      </w:r>
    </w:p>
    <w:p w:rsidR="008243D2" w:rsidRDefault="001D629F" w:rsidP="008243D2">
      <w:r>
        <w:t>According to</w:t>
      </w:r>
      <w:r w:rsidR="008243D2">
        <w:t xml:space="preserve"> Section 3 of [1], the open issues that still remain to </w:t>
      </w:r>
      <w:r>
        <w:t>be clarified</w:t>
      </w:r>
      <w:r w:rsidR="008243D2">
        <w:t xml:space="preserve"> are:</w:t>
      </w:r>
    </w:p>
    <w:p w:rsidR="008243D2" w:rsidRDefault="008243D2" w:rsidP="008243D2">
      <w:pPr>
        <w:pStyle w:val="ListParagraph"/>
        <w:numPr>
          <w:ilvl w:val="0"/>
          <w:numId w:val="22"/>
        </w:numPr>
      </w:pPr>
      <w:r>
        <w:t>How later registering neighbours are handled and detected.</w:t>
      </w:r>
    </w:p>
    <w:p w:rsidR="008243D2" w:rsidRDefault="008243D2" w:rsidP="008243D2">
      <w:pPr>
        <w:pStyle w:val="ListParagraph"/>
        <w:numPr>
          <w:ilvl w:val="0"/>
          <w:numId w:val="22"/>
        </w:numPr>
      </w:pPr>
      <w:r>
        <w:t>Determination of whether the source HNB is a legacy HNB or not.</w:t>
      </w:r>
    </w:p>
    <w:p w:rsidR="008243D2" w:rsidRDefault="008243D2" w:rsidP="008243D2">
      <w:pPr>
        <w:pStyle w:val="ListParagraph"/>
        <w:numPr>
          <w:ilvl w:val="0"/>
          <w:numId w:val="22"/>
        </w:numPr>
      </w:pPr>
      <w:r>
        <w:t>Choose a context transfer mechanism(s)</w:t>
      </w:r>
      <w:r w:rsidR="00C00329">
        <w:t>.</w:t>
      </w:r>
    </w:p>
    <w:p w:rsidR="008243D2" w:rsidRDefault="008243D2" w:rsidP="008243D2">
      <w:pPr>
        <w:pStyle w:val="ListParagraph"/>
        <w:numPr>
          <w:ilvl w:val="0"/>
          <w:numId w:val="22"/>
        </w:numPr>
      </w:pPr>
      <w:r>
        <w:t>Determine the p</w:t>
      </w:r>
      <w:r w:rsidR="00C00329">
        <w:t>rocedure for Iurh dynamic setup</w:t>
      </w:r>
      <w:r>
        <w:t>.</w:t>
      </w:r>
    </w:p>
    <w:p w:rsidR="008243D2" w:rsidRDefault="008243D2" w:rsidP="008243D2">
      <w:pPr>
        <w:pStyle w:val="Heading2"/>
      </w:pPr>
      <w:r>
        <w:t xml:space="preserve">2.1 Detection </w:t>
      </w:r>
      <w:r w:rsidR="00CE01AE">
        <w:t xml:space="preserve">and handling </w:t>
      </w:r>
      <w:r>
        <w:t>of later registering neighbours</w:t>
      </w:r>
    </w:p>
    <w:p w:rsidR="00050E85" w:rsidRDefault="008243D2" w:rsidP="008243D2">
      <w:r>
        <w:t xml:space="preserve">As captured in the latest version of the Stage 2 and Stage 3 CRs [3, 4], the </w:t>
      </w:r>
      <w:r w:rsidR="00050E85">
        <w:t>list of S-RNTI prefixes of the neighbour HNB are provided by the HNB-GW during HNB Configuration Transfer. This can be read in the following sections:</w:t>
      </w:r>
    </w:p>
    <w:p w:rsidR="00050E85" w:rsidRDefault="00050E85" w:rsidP="008243D2">
      <w:r>
        <w:t>Section 5.8 of TS 25.467 according to the changes proposed in [3],</w:t>
      </w:r>
    </w:p>
    <w:p w:rsidR="00050E85" w:rsidRDefault="00050E85" w:rsidP="008243D2">
      <w:r>
        <w:t>“</w:t>
      </w:r>
      <w:r w:rsidRPr="00050E85">
        <w:rPr>
          <w:color w:val="FF0000"/>
          <w:lang w:eastAsia="zh-CN"/>
        </w:rPr>
        <w:t>If the HNB-GW knows that the HNB supports S-RNTI prefix assignment, the HNB-GW will inform the HNB of the S-RNTI prefix values of the HNB neighbours along with their IP address information</w:t>
      </w:r>
      <w:r>
        <w:rPr>
          <w:lang w:eastAsia="zh-CN"/>
        </w:rPr>
        <w:t>.</w:t>
      </w:r>
      <w:r>
        <w:t>”</w:t>
      </w:r>
    </w:p>
    <w:p w:rsidR="00050E85" w:rsidRDefault="00050E85" w:rsidP="008243D2">
      <w:r>
        <w:t>Section 8.10.2 of TS 25.469 according to the changes proposed in [4],</w:t>
      </w:r>
    </w:p>
    <w:p w:rsidR="00050E85" w:rsidRPr="008243D2" w:rsidRDefault="00050E85" w:rsidP="008243D2">
      <w:pPr>
        <w:rPr>
          <w:lang w:eastAsia="zh-CN"/>
        </w:rPr>
      </w:pPr>
      <w:r>
        <w:t>“</w:t>
      </w:r>
      <w:r w:rsidRPr="00050E85">
        <w:rPr>
          <w:color w:val="FF0000"/>
          <w:lang w:eastAsia="zh-CN"/>
        </w:rPr>
        <w:t xml:space="preserve">If the HNB sending the HNB CONFIGURATION TRANSFER REQUEST message supports CELL_FACH/CELL_PCH/URA_PCH mobility, the HNB-GW shall include the </w:t>
      </w:r>
      <w:r w:rsidRPr="00050E85">
        <w:rPr>
          <w:i/>
          <w:color w:val="FF0000"/>
          <w:lang w:eastAsia="zh-CN"/>
        </w:rPr>
        <w:t xml:space="preserve">S-RNTI Prefix </w:t>
      </w:r>
      <w:r w:rsidRPr="00050E85">
        <w:rPr>
          <w:color w:val="FF0000"/>
          <w:lang w:eastAsia="zh-CN"/>
        </w:rPr>
        <w:t xml:space="preserve">IE of the relevant neighbour HNBs in the </w:t>
      </w:r>
      <w:r w:rsidRPr="00050E85">
        <w:rPr>
          <w:i/>
          <w:color w:val="FF0000"/>
          <w:lang w:eastAsia="zh-CN"/>
        </w:rPr>
        <w:t xml:space="preserve">Neighbour Information </w:t>
      </w:r>
      <w:r w:rsidRPr="00050E85">
        <w:rPr>
          <w:color w:val="FF0000"/>
          <w:lang w:eastAsia="zh-CN"/>
        </w:rPr>
        <w:t>IEs.</w:t>
      </w:r>
      <w:r>
        <w:t>”</w:t>
      </w:r>
    </w:p>
    <w:p w:rsidR="008243D2" w:rsidRDefault="00050E85" w:rsidP="00050E85">
      <w:pPr>
        <w:tabs>
          <w:tab w:val="left" w:pos="1891"/>
        </w:tabs>
      </w:pPr>
      <w:r>
        <w:t xml:space="preserve">In particular, in Section 9.2.40 of [4] it can be seen that the </w:t>
      </w:r>
      <w:r>
        <w:rPr>
          <w:i/>
        </w:rPr>
        <w:t>S-RNTI Prefix</w:t>
      </w:r>
      <w:r>
        <w:t xml:space="preserve"> IE has been added to the </w:t>
      </w:r>
      <w:r>
        <w:rPr>
          <w:i/>
        </w:rPr>
        <w:t xml:space="preserve">HNB Configuration Information Provided </w:t>
      </w:r>
      <w:r>
        <w:t xml:space="preserve">IE who is part of the </w:t>
      </w:r>
      <w:r>
        <w:rPr>
          <w:i/>
        </w:rPr>
        <w:t>HNB Configuration Information</w:t>
      </w:r>
      <w:r>
        <w:t xml:space="preserve"> IE. The </w:t>
      </w:r>
      <w:r>
        <w:rPr>
          <w:i/>
        </w:rPr>
        <w:t xml:space="preserve">HNB Configuration Information </w:t>
      </w:r>
      <w:r>
        <w:t xml:space="preserve">IE is in turn used to define a single element of the </w:t>
      </w:r>
      <w:r>
        <w:rPr>
          <w:i/>
        </w:rPr>
        <w:t>Neighbour Information List</w:t>
      </w:r>
      <w:r>
        <w:t xml:space="preserve"> IE in the HNB CONFIGURATION TTRANSFER REQUEST message.</w:t>
      </w:r>
      <w:r>
        <w:tab/>
      </w:r>
    </w:p>
    <w:p w:rsidR="00050E85" w:rsidRPr="00BF550A" w:rsidRDefault="00050E85" w:rsidP="00B62E98">
      <w:pPr>
        <w:pBdr>
          <w:top w:val="double" w:sz="4" w:space="1" w:color="auto"/>
          <w:left w:val="double" w:sz="4" w:space="4" w:color="auto"/>
          <w:bottom w:val="double" w:sz="4" w:space="1" w:color="auto"/>
          <w:right w:val="double" w:sz="4" w:space="4" w:color="auto"/>
        </w:pBdr>
        <w:tabs>
          <w:tab w:val="left" w:pos="1891"/>
        </w:tabs>
        <w:rPr>
          <w:b/>
        </w:rPr>
      </w:pPr>
      <w:r w:rsidRPr="00BF550A">
        <w:rPr>
          <w:b/>
        </w:rPr>
        <w:t>Therefore, anytime a new HNB</w:t>
      </w:r>
      <w:r w:rsidRPr="00BF550A">
        <w:rPr>
          <w:b/>
          <w:vertAlign w:val="subscript"/>
        </w:rPr>
        <w:t>2</w:t>
      </w:r>
      <w:r w:rsidRPr="00BF550A">
        <w:rPr>
          <w:b/>
        </w:rPr>
        <w:t xml:space="preserve"> later registers to the HNB-GW, a neighbour HNB</w:t>
      </w:r>
      <w:r w:rsidRPr="00BF550A">
        <w:rPr>
          <w:b/>
          <w:vertAlign w:val="subscript"/>
        </w:rPr>
        <w:t>1</w:t>
      </w:r>
      <w:r w:rsidRPr="00BF550A">
        <w:rPr>
          <w:b/>
        </w:rPr>
        <w:t xml:space="preserve"> can ask the HNB-GW to provide the necessary S-RNTI prefix of HNB</w:t>
      </w:r>
      <w:r w:rsidRPr="00BF550A">
        <w:rPr>
          <w:b/>
          <w:vertAlign w:val="subscript"/>
        </w:rPr>
        <w:t>2</w:t>
      </w:r>
      <w:r w:rsidRPr="00BF550A">
        <w:rPr>
          <w:b/>
        </w:rPr>
        <w:t xml:space="preserve"> via HNB Configuration Transfer as soon as it is </w:t>
      </w:r>
      <w:r w:rsidR="00CE01AE" w:rsidRPr="00BF550A">
        <w:rPr>
          <w:b/>
        </w:rPr>
        <w:t>detected</w:t>
      </w:r>
      <w:r w:rsidRPr="00BF550A">
        <w:rPr>
          <w:b/>
        </w:rPr>
        <w:t xml:space="preserve"> (e.g., as soon as a UE moving towards HNB</w:t>
      </w:r>
      <w:r w:rsidRPr="00BF550A">
        <w:rPr>
          <w:b/>
          <w:vertAlign w:val="subscript"/>
        </w:rPr>
        <w:t>1</w:t>
      </w:r>
      <w:r w:rsidRPr="00BF550A">
        <w:rPr>
          <w:b/>
        </w:rPr>
        <w:t xml:space="preserve"> indicates – for the first time – the S-RNTI prefix of HNB</w:t>
      </w:r>
      <w:r w:rsidRPr="00BF550A">
        <w:rPr>
          <w:b/>
          <w:vertAlign w:val="subscript"/>
        </w:rPr>
        <w:t>2</w:t>
      </w:r>
      <w:r w:rsidRPr="00BF550A">
        <w:rPr>
          <w:b/>
        </w:rPr>
        <w:t>)</w:t>
      </w:r>
      <w:r w:rsidR="00CE01AE" w:rsidRPr="00BF550A">
        <w:rPr>
          <w:b/>
        </w:rPr>
        <w:t>.</w:t>
      </w:r>
    </w:p>
    <w:p w:rsidR="00CE01AE" w:rsidRDefault="00CE01AE" w:rsidP="00CE01AE">
      <w:pPr>
        <w:pStyle w:val="Heading2"/>
      </w:pPr>
      <w:r>
        <w:lastRenderedPageBreak/>
        <w:t>2.2 Determination of whether the source is a legacy HNB or not</w:t>
      </w:r>
    </w:p>
    <w:p w:rsidR="00CE01AE" w:rsidRDefault="008C2A04" w:rsidP="00050E85">
      <w:pPr>
        <w:tabs>
          <w:tab w:val="left" w:pos="1891"/>
        </w:tabs>
      </w:pPr>
      <w:r>
        <w:t>This is an important issue and was addressed more than once during the pre-RAN3 #80 e-mail discussion. In particular, an initial conclusion was captured under Q4 (Question #4) in Section 3.1 of [5]:</w:t>
      </w:r>
    </w:p>
    <w:p w:rsidR="008C2A04" w:rsidRPr="00804B00" w:rsidRDefault="008C2A04" w:rsidP="008C2A04">
      <w:pPr>
        <w:pBdr>
          <w:top w:val="single" w:sz="4" w:space="1" w:color="auto"/>
          <w:left w:val="single" w:sz="4" w:space="4" w:color="auto"/>
          <w:bottom w:val="single" w:sz="4" w:space="1" w:color="auto"/>
          <w:right w:val="single" w:sz="4" w:space="4" w:color="auto"/>
        </w:pBdr>
        <w:ind w:left="432"/>
        <w:rPr>
          <w:b/>
          <w:i/>
          <w:color w:val="FF0000"/>
          <w:lang w:eastAsia="zh-CN"/>
        </w:rPr>
      </w:pPr>
      <w:r w:rsidRPr="00804B00">
        <w:rPr>
          <w:b/>
          <w:i/>
          <w:color w:val="FF0000"/>
          <w:lang w:eastAsia="zh-CN"/>
        </w:rPr>
        <w:t xml:space="preserve">Conclusion 4: </w:t>
      </w:r>
      <w:r w:rsidRPr="00804B00">
        <w:rPr>
          <w:i/>
          <w:color w:val="FF0000"/>
          <w:lang w:eastAsia="zh-CN"/>
        </w:rPr>
        <w:t>The optional usage of the extended RNC-ID for distinguishing HNBs supporting CELL_FACH mobility from those who do not support such type of mobility has been introduced in a note in Step 5a of Section 5.2.2 of TS 25.467.</w:t>
      </w:r>
    </w:p>
    <w:p w:rsidR="00804B00" w:rsidRDefault="00804B00" w:rsidP="00050E85">
      <w:pPr>
        <w:tabs>
          <w:tab w:val="left" w:pos="1891"/>
        </w:tabs>
      </w:pPr>
      <w:r>
        <w:t>Subsequently, triggered by a further question for clarification, under Comment 2 and Comment 3 in Section 3.2 of [5] it is explained that at the receipt of the CELL/URA UPDATE message. In summary:</w:t>
      </w:r>
    </w:p>
    <w:p w:rsidR="00804B00" w:rsidRPr="00804B00" w:rsidRDefault="00804B00" w:rsidP="00804B00">
      <w:pPr>
        <w:pStyle w:val="ListParagraph"/>
        <w:numPr>
          <w:ilvl w:val="0"/>
          <w:numId w:val="23"/>
        </w:numPr>
        <w:overflowPunct/>
        <w:autoSpaceDE/>
        <w:autoSpaceDN/>
        <w:adjustRightInd/>
        <w:spacing w:after="0"/>
        <w:textAlignment w:val="auto"/>
        <w:rPr>
          <w:color w:val="FF0000"/>
        </w:rPr>
      </w:pPr>
      <w:r w:rsidRPr="00804B00">
        <w:rPr>
          <w:color w:val="FF0000"/>
        </w:rPr>
        <w:t>If the target is an RNC, it is able to understand the “extended RNC ID” received in the U-RNTI and it realizes that the UE is coming from a source HNB who has been assigned a “special RNC ID” = non CELL_FACH capable. Therefore, the RNC will not contact the HNB-GW.</w:t>
      </w:r>
    </w:p>
    <w:p w:rsidR="00804B00" w:rsidRPr="00804B00" w:rsidRDefault="00804B00" w:rsidP="00804B00">
      <w:pPr>
        <w:pStyle w:val="ListParagraph"/>
        <w:numPr>
          <w:ilvl w:val="0"/>
          <w:numId w:val="23"/>
        </w:numPr>
        <w:overflowPunct/>
        <w:autoSpaceDE/>
        <w:autoSpaceDN/>
        <w:adjustRightInd/>
        <w:spacing w:after="0"/>
        <w:textAlignment w:val="auto"/>
        <w:rPr>
          <w:color w:val="FF0000"/>
        </w:rPr>
      </w:pPr>
      <w:r w:rsidRPr="00804B00">
        <w:rPr>
          <w:color w:val="FF0000"/>
        </w:rPr>
        <w:t xml:space="preserve">If the target is a HNB, it cannot distinguish whether the source HNB is CELL_FACH capable or not (i.e., it cannot understand the ‘extended RNC ID’). Simply, the target HNB will not find the S-RNTI prefix in its neighbour table and will contact the </w:t>
      </w:r>
      <w:r w:rsidR="00BF550A">
        <w:rPr>
          <w:color w:val="FF0000"/>
        </w:rPr>
        <w:t>HNB-</w:t>
      </w:r>
      <w:r w:rsidRPr="00804B00">
        <w:rPr>
          <w:color w:val="FF0000"/>
        </w:rPr>
        <w:t>GW. At the point the HNB-GW knows and will reply by asking the target to release the RRC connection and establish a new one.</w:t>
      </w:r>
    </w:p>
    <w:p w:rsidR="00804B00" w:rsidRDefault="00804B00" w:rsidP="00BF550A">
      <w:pPr>
        <w:pStyle w:val="ListParagraph"/>
        <w:overflowPunct/>
        <w:autoSpaceDE/>
        <w:autoSpaceDN/>
        <w:adjustRightInd/>
        <w:spacing w:after="0"/>
        <w:textAlignment w:val="auto"/>
        <w:rPr>
          <w:color w:val="FF0000"/>
        </w:rPr>
      </w:pPr>
      <w:r w:rsidRPr="00804B00">
        <w:rPr>
          <w:color w:val="FF0000"/>
        </w:rPr>
        <w:t>(Alternatively, if is acceptable to add the above mentioned 4 bit to the HNB-GW-&gt;HNB signalling, the HNB itself can decide)</w:t>
      </w:r>
      <w:r w:rsidR="00BF550A">
        <w:rPr>
          <w:color w:val="FF0000"/>
        </w:rPr>
        <w:t>.</w:t>
      </w:r>
    </w:p>
    <w:p w:rsidR="008C2A04" w:rsidRDefault="00BF550A" w:rsidP="00BF550A">
      <w:pPr>
        <w:spacing w:after="0"/>
      </w:pPr>
      <w:r>
        <w:t xml:space="preserve">Later the Stage 2 CR was update accordingly. First the note in </w:t>
      </w:r>
      <w:r w:rsidR="00804B00">
        <w:t>Step 5a of Section 5.2.2 (HNB Registration) of the Stage 2 CR [3]:</w:t>
      </w:r>
    </w:p>
    <w:p w:rsidR="00804B00" w:rsidRPr="00804B00" w:rsidRDefault="00BF550A" w:rsidP="00804B00">
      <w:pPr>
        <w:pStyle w:val="NO"/>
        <w:rPr>
          <w:color w:val="FF0000"/>
        </w:rPr>
      </w:pPr>
      <w:r w:rsidRPr="00BF550A">
        <w:rPr>
          <w:color w:val="000000" w:themeColor="text1"/>
        </w:rPr>
        <w:t>“</w:t>
      </w:r>
      <w:r w:rsidR="00804B00" w:rsidRPr="00804B00">
        <w:rPr>
          <w:color w:val="FF0000"/>
        </w:rPr>
        <w:t xml:space="preserve">NOTE: </w:t>
      </w:r>
      <w:r w:rsidR="00804B00" w:rsidRPr="00804B00">
        <w:rPr>
          <w:color w:val="FF0000"/>
        </w:rPr>
        <w:tab/>
        <w:t>If the HNB-GW is configured with a 12 bit long RNC ID and it is connected to both HNBs supporting HNBs not supporting CELL_FACH/CELL_PCH/URA_PCH mobility, it may assign an extended 16 bit long RNC-ID value towards the latter. The additional 4 bits of the extended RNC-ID are internally assigned by the HNB-GW and can be used by the HNB-GW later during mobility in order to determine if a certain UE is coming from an HNB not supporting CELL_FACH/CELL_PCH/URA_PCH mobility</w:t>
      </w:r>
      <w:r>
        <w:rPr>
          <w:color w:val="FF0000"/>
        </w:rPr>
        <w:t>.</w:t>
      </w:r>
      <w:r w:rsidRPr="00BF550A">
        <w:rPr>
          <w:color w:val="000000" w:themeColor="text1"/>
        </w:rPr>
        <w:t>”</w:t>
      </w:r>
    </w:p>
    <w:p w:rsidR="00804B00" w:rsidRDefault="00BF550A" w:rsidP="00050E85">
      <w:pPr>
        <w:tabs>
          <w:tab w:val="left" w:pos="1891"/>
        </w:tabs>
      </w:pPr>
      <w:r>
        <w:t>Then, both the figure and the text describing HNB-HNB mobility have been updated to describe that the target HNB might contact the HNB-GW in order to understand if the source supports the new type of mobility. Now Step 3a in Section 5.7.x of [3] reads:</w:t>
      </w:r>
    </w:p>
    <w:p w:rsidR="00BF550A" w:rsidRPr="00BF550A" w:rsidRDefault="00BF550A" w:rsidP="00BF550A">
      <w:pPr>
        <w:pStyle w:val="ListParagraph"/>
        <w:rPr>
          <w:noProof/>
          <w:color w:val="FF0000"/>
        </w:rPr>
      </w:pPr>
      <w:r w:rsidRPr="00BF550A">
        <w:rPr>
          <w:noProof/>
          <w:color w:val="000000" w:themeColor="text1"/>
        </w:rPr>
        <w:t>“</w:t>
      </w:r>
      <w:r>
        <w:rPr>
          <w:noProof/>
          <w:color w:val="FF0000"/>
        </w:rPr>
        <w:t xml:space="preserve">3a. </w:t>
      </w:r>
      <w:r w:rsidRPr="00BF550A">
        <w:rPr>
          <w:noProof/>
          <w:color w:val="FF0000"/>
        </w:rPr>
        <w:t xml:space="preserve">If the UE is coming from an unknown HNB (i.e., from a HNB whose S-RNTI-prefix is not in the neighbour list of the target HNB), or if source HNB is know but the Iurh interface is not already established, the target HNB will contact the HNB-GW by sending the received S-RNTI-prefix. </w:t>
      </w:r>
    </w:p>
    <w:p w:rsidR="00BF550A" w:rsidRPr="00BF550A" w:rsidRDefault="00BF550A" w:rsidP="00BF550A">
      <w:pPr>
        <w:pStyle w:val="ListParagraph"/>
        <w:rPr>
          <w:noProof/>
          <w:color w:val="FF0000"/>
        </w:rPr>
      </w:pPr>
      <w:r w:rsidRPr="00BF550A">
        <w:rPr>
          <w:noProof/>
          <w:color w:val="FF0000"/>
        </w:rPr>
        <w:t xml:space="preserve">The HNB-GW then indicates to the target HNB whether the source HNB associated to that S-RNTI-prefix supports CELL_FACH/CELL_PCH/URA_PCH or not and, in case, all necessary information (e.g., TNL address of the source HNB) to dynamically establish the Iurh interface. </w:t>
      </w:r>
    </w:p>
    <w:p w:rsidR="00BF550A" w:rsidRPr="00BF550A" w:rsidRDefault="00BF550A" w:rsidP="00BF550A">
      <w:pPr>
        <w:pStyle w:val="ListParagraph"/>
        <w:rPr>
          <w:noProof/>
          <w:color w:val="FF0000"/>
        </w:rPr>
      </w:pPr>
      <w:r w:rsidRPr="00BF550A">
        <w:rPr>
          <w:noProof/>
          <w:color w:val="FF0000"/>
        </w:rPr>
        <w:t>If the source HNB does not support CELL_FACH/CELL_PCH/URA_PCH mobility, then the target HNB will have to re-establish the RRC connection with the UE and skip the subsequent steps.</w:t>
      </w:r>
      <w:r w:rsidRPr="00BF550A">
        <w:rPr>
          <w:noProof/>
          <w:color w:val="000000" w:themeColor="text1"/>
        </w:rPr>
        <w:t>”</w:t>
      </w:r>
    </w:p>
    <w:p w:rsidR="00BF550A" w:rsidRPr="00BF550A" w:rsidRDefault="00BF550A" w:rsidP="00050E85">
      <w:pPr>
        <w:tabs>
          <w:tab w:val="left" w:pos="1891"/>
        </w:tabs>
      </w:pPr>
      <w:r>
        <w:t xml:space="preserve">Notice that the target HNB can contact the HNB-GW by means of a HNB CONFIGURATION TRANSFER REQUEST message. This message would include a single entry in the </w:t>
      </w:r>
      <w:r w:rsidRPr="00BF550A">
        <w:rPr>
          <w:i/>
        </w:rPr>
        <w:t>Neighbour Information Request List</w:t>
      </w:r>
      <w:r>
        <w:t xml:space="preserve"> IE indicating a </w:t>
      </w:r>
      <w:r>
        <w:rPr>
          <w:i/>
        </w:rPr>
        <w:t>S-RNTI Prefix</w:t>
      </w:r>
      <w:r>
        <w:t xml:space="preserve"> IE. This required a change to the 9.2.36 (HNB RNL IDENTITY) in Stage 3 [4].</w:t>
      </w:r>
    </w:p>
    <w:p w:rsidR="00BF550A" w:rsidRDefault="00BF550A" w:rsidP="00050E85">
      <w:pPr>
        <w:tabs>
          <w:tab w:val="left" w:pos="1891"/>
        </w:tabs>
      </w:pPr>
      <w:r>
        <w:t>Finally, a note in Section 5.11.x of [3] (HNB to RNC mobility) has been introduced to describe that:</w:t>
      </w:r>
    </w:p>
    <w:p w:rsidR="00BF550A" w:rsidRPr="00BF550A" w:rsidRDefault="00BF550A" w:rsidP="00BF550A">
      <w:pPr>
        <w:pStyle w:val="NO"/>
        <w:rPr>
          <w:color w:val="FF0000"/>
        </w:rPr>
      </w:pPr>
      <w:r w:rsidRPr="00BF550A">
        <w:rPr>
          <w:noProof/>
          <w:color w:val="000000" w:themeColor="text1"/>
        </w:rPr>
        <w:t>“</w:t>
      </w:r>
      <w:r w:rsidRPr="00BF550A">
        <w:rPr>
          <w:noProof/>
          <w:color w:val="FF0000"/>
        </w:rPr>
        <w:t>NOTE:</w:t>
      </w:r>
      <w:r w:rsidRPr="00BF550A">
        <w:rPr>
          <w:noProof/>
          <w:color w:val="FF0000"/>
        </w:rPr>
        <w:tab/>
        <w:t>The RNC can determine whether the source HNB supports or not CELL_FACH/CELL_PCH/URA_PCH mobility based on the extended RNC ID included in the U-RNTI. If the source HNB does not support CELL_FACH/CELL_PCH/URA_PCH mobility, the RNC will terminate the procedure by releasing the RRC connection.</w:t>
      </w:r>
      <w:r w:rsidR="00C00329" w:rsidRPr="00C00329">
        <w:rPr>
          <w:noProof/>
          <w:color w:val="000000" w:themeColor="text1"/>
        </w:rPr>
        <w:t>”</w:t>
      </w:r>
    </w:p>
    <w:p w:rsidR="008C2A04" w:rsidRPr="00BF550A" w:rsidRDefault="00BF550A" w:rsidP="00B62E98">
      <w:pPr>
        <w:pBdr>
          <w:top w:val="double" w:sz="4" w:space="1" w:color="auto"/>
          <w:left w:val="double" w:sz="4" w:space="4" w:color="auto"/>
          <w:bottom w:val="double" w:sz="4" w:space="1" w:color="auto"/>
          <w:right w:val="double" w:sz="4" w:space="4" w:color="auto"/>
        </w:pBdr>
        <w:tabs>
          <w:tab w:val="left" w:pos="1891"/>
        </w:tabs>
        <w:rPr>
          <w:b/>
        </w:rPr>
      </w:pPr>
      <w:r w:rsidRPr="00BF550A">
        <w:rPr>
          <w:b/>
        </w:rPr>
        <w:t>We believe that the changes described above are sufficient to handle the case of a source HNB not supporting the new type of mobility.</w:t>
      </w:r>
    </w:p>
    <w:p w:rsidR="00BF550A" w:rsidRDefault="00BF550A" w:rsidP="00C00329">
      <w:pPr>
        <w:pStyle w:val="Heading2"/>
      </w:pPr>
      <w:r>
        <w:lastRenderedPageBreak/>
        <w:t>2.3</w:t>
      </w:r>
      <w:r w:rsidR="00C00329">
        <w:t xml:space="preserve"> Choice of a context transfer mechanism</w:t>
      </w:r>
    </w:p>
    <w:p w:rsidR="00E65D15" w:rsidRDefault="00E65D15" w:rsidP="00E65D15">
      <w:r>
        <w:t>As reported under Q6 and Q7 in Section 3.1 of the discussion paper R3-130986 [5], what seem reasonable conclusions are:</w:t>
      </w:r>
    </w:p>
    <w:p w:rsidR="00E65D15" w:rsidRPr="00E65D15" w:rsidRDefault="00E65D15" w:rsidP="00E65D15">
      <w:pPr>
        <w:pBdr>
          <w:top w:val="single" w:sz="4" w:space="1" w:color="auto"/>
          <w:left w:val="single" w:sz="4" w:space="4" w:color="auto"/>
          <w:bottom w:val="single" w:sz="4" w:space="1" w:color="auto"/>
          <w:right w:val="single" w:sz="4" w:space="4" w:color="auto"/>
          <w:between w:val="single" w:sz="4" w:space="1" w:color="auto"/>
          <w:bar w:val="single" w:sz="4" w:color="auto"/>
        </w:pBdr>
        <w:spacing w:after="0"/>
        <w:ind w:left="432"/>
        <w:rPr>
          <w:i/>
          <w:color w:val="FF0000"/>
          <w:lang w:eastAsia="zh-CN"/>
        </w:rPr>
      </w:pPr>
      <w:r w:rsidRPr="00E65D15">
        <w:rPr>
          <w:b/>
          <w:i/>
          <w:color w:val="FF0000"/>
          <w:lang w:eastAsia="zh-CN"/>
        </w:rPr>
        <w:t xml:space="preserve">Conclusion 6a: </w:t>
      </w:r>
      <w:r w:rsidRPr="00E65D15">
        <w:rPr>
          <w:i/>
          <w:color w:val="FF0000"/>
          <w:lang w:eastAsia="zh-CN"/>
        </w:rPr>
        <w:t>In case of HNB to HNB mobility, UE context transfer should be optional and based on the (macro) enhanced SRNS relocation.</w:t>
      </w:r>
    </w:p>
    <w:p w:rsidR="00E65D15" w:rsidRPr="00E65D15" w:rsidRDefault="00E65D15" w:rsidP="00E65D15">
      <w:pPr>
        <w:pBdr>
          <w:top w:val="single" w:sz="4" w:space="1" w:color="auto"/>
          <w:left w:val="single" w:sz="4" w:space="4" w:color="auto"/>
          <w:bottom w:val="single" w:sz="4" w:space="1" w:color="auto"/>
          <w:right w:val="single" w:sz="4" w:space="4" w:color="auto"/>
          <w:between w:val="single" w:sz="4" w:space="1" w:color="auto"/>
          <w:bar w:val="single" w:sz="4" w:color="auto"/>
        </w:pBdr>
        <w:ind w:left="432"/>
        <w:rPr>
          <w:b/>
          <w:i/>
          <w:color w:val="FF0000"/>
          <w:lang w:eastAsia="zh-CN"/>
        </w:rPr>
      </w:pPr>
      <w:r w:rsidRPr="00E65D15">
        <w:rPr>
          <w:b/>
          <w:i/>
          <w:color w:val="FF0000"/>
          <w:lang w:eastAsia="zh-CN"/>
        </w:rPr>
        <w:t xml:space="preserve">Conclusion 7: </w:t>
      </w:r>
      <w:r w:rsidRPr="00E65D15">
        <w:rPr>
          <w:i/>
          <w:color w:val="FF0000"/>
          <w:lang w:eastAsia="zh-CN"/>
        </w:rPr>
        <w:t>In case of HNB to RNC mobility, UE context transfer should be mandatory and based on the (macro) enhanced SRNS relocation.</w:t>
      </w:r>
    </w:p>
    <w:p w:rsidR="00E65D15" w:rsidRDefault="00B62E98" w:rsidP="00E65D15">
      <w:r>
        <w:t>This is in line with what R3-130966 [1] proposed and</w:t>
      </w:r>
      <w:r w:rsidR="00E65D15">
        <w:t xml:space="preserve"> translate</w:t>
      </w:r>
      <w:r>
        <w:t>s</w:t>
      </w:r>
      <w:r w:rsidR="00E65D15">
        <w:t xml:space="preserve"> in the following Stage 2 changes </w:t>
      </w:r>
      <w:r>
        <w:t xml:space="preserve">in </w:t>
      </w:r>
      <w:r w:rsidR="00E65D15">
        <w:t>[3]. Step 4 of 5.7.x (HNB-HNB mobility):</w:t>
      </w:r>
    </w:p>
    <w:p w:rsidR="00E65D15" w:rsidRPr="00E65D15" w:rsidRDefault="00E65D15" w:rsidP="00E65D15">
      <w:pPr>
        <w:ind w:left="720"/>
        <w:rPr>
          <w:noProof/>
          <w:color w:val="FF0000"/>
        </w:rPr>
      </w:pPr>
      <w:r w:rsidRPr="00E65D15">
        <w:rPr>
          <w:noProof/>
          <w:color w:val="FF0000"/>
        </w:rPr>
        <w:t xml:space="preserve">If the source HNB is supporting this type of mobility, the </w:t>
      </w:r>
      <w:r w:rsidRPr="00E65D15">
        <w:rPr>
          <w:noProof/>
          <w:color w:val="FF0000"/>
          <w:highlight w:val="yellow"/>
        </w:rPr>
        <w:t>two HNBs may now execute</w:t>
      </w:r>
      <w:r w:rsidRPr="00E65D15">
        <w:rPr>
          <w:noProof/>
          <w:color w:val="FF0000"/>
        </w:rPr>
        <w:t xml:space="preserve"> the SRNS Relocation procedure and exchange the UE context.</w:t>
      </w:r>
    </w:p>
    <w:p w:rsidR="00E65D15" w:rsidRDefault="00E65D15" w:rsidP="00E65D15">
      <w:r>
        <w:t>Step 6 of 5.11.x (HNB to RNC mobility):</w:t>
      </w:r>
    </w:p>
    <w:p w:rsidR="00E65D15" w:rsidRPr="00E65D15" w:rsidRDefault="00E65D15" w:rsidP="00E65D15">
      <w:pPr>
        <w:pStyle w:val="B1"/>
        <w:ind w:firstLine="152"/>
        <w:rPr>
          <w:noProof/>
          <w:color w:val="FF0000"/>
        </w:rPr>
      </w:pPr>
      <w:r w:rsidRPr="00E65D15">
        <w:rPr>
          <w:noProof/>
          <w:color w:val="FF0000"/>
        </w:rPr>
        <w:t xml:space="preserve">The </w:t>
      </w:r>
      <w:r w:rsidRPr="00E65D15">
        <w:rPr>
          <w:noProof/>
          <w:color w:val="FF0000"/>
          <w:highlight w:val="yellow"/>
        </w:rPr>
        <w:t>HNB and the RNC execute</w:t>
      </w:r>
      <w:r w:rsidRPr="00E65D15">
        <w:rPr>
          <w:noProof/>
          <w:color w:val="FF0000"/>
        </w:rPr>
        <w:t xml:space="preserve"> now the SRNS Relocation procedure and exchange the UE context.</w:t>
      </w:r>
    </w:p>
    <w:p w:rsidR="00E65D15" w:rsidRDefault="00E65D15" w:rsidP="00E65D15">
      <w:r>
        <w:t>Step 6 of 5.11.y (RNC to HNB mobility)</w:t>
      </w:r>
    </w:p>
    <w:p w:rsidR="00E65D15" w:rsidRPr="00E65D15" w:rsidRDefault="00E65D15" w:rsidP="00E65D15">
      <w:pPr>
        <w:pStyle w:val="B1"/>
        <w:ind w:firstLine="152"/>
        <w:rPr>
          <w:noProof/>
          <w:color w:val="FF0000"/>
        </w:rPr>
      </w:pPr>
      <w:r w:rsidRPr="00E65D15">
        <w:rPr>
          <w:noProof/>
          <w:color w:val="FF0000"/>
        </w:rPr>
        <w:t xml:space="preserve">The </w:t>
      </w:r>
      <w:r w:rsidRPr="00E65D15">
        <w:rPr>
          <w:noProof/>
          <w:color w:val="FF0000"/>
          <w:highlight w:val="yellow"/>
        </w:rPr>
        <w:t>RNC and the HNB may now execute</w:t>
      </w:r>
      <w:r w:rsidRPr="00E65D15">
        <w:rPr>
          <w:noProof/>
          <w:color w:val="FF0000"/>
        </w:rPr>
        <w:t xml:space="preserve"> the SRNS Relocation procedure and exchange the UE context.</w:t>
      </w:r>
    </w:p>
    <w:p w:rsidR="00E65D15" w:rsidRPr="00B62E98" w:rsidRDefault="00E65D15" w:rsidP="00B62E98">
      <w:pPr>
        <w:pBdr>
          <w:top w:val="double" w:sz="4" w:space="1" w:color="auto"/>
          <w:left w:val="double" w:sz="4" w:space="4" w:color="auto"/>
          <w:bottom w:val="double" w:sz="4" w:space="1" w:color="auto"/>
          <w:right w:val="double" w:sz="4" w:space="4" w:color="auto"/>
        </w:pBdr>
        <w:tabs>
          <w:tab w:val="left" w:pos="1891"/>
        </w:tabs>
        <w:rPr>
          <w:b/>
        </w:rPr>
      </w:pPr>
      <w:r w:rsidRPr="00B62E98">
        <w:rPr>
          <w:b/>
        </w:rPr>
        <w:t xml:space="preserve">Notice the </w:t>
      </w:r>
      <w:r w:rsidR="00B62E98" w:rsidRPr="00B62E98">
        <w:rPr>
          <w:b/>
        </w:rPr>
        <w:t xml:space="preserve">usage of </w:t>
      </w:r>
      <w:r w:rsidR="00B62E98">
        <w:rPr>
          <w:b/>
        </w:rPr>
        <w:t xml:space="preserve">the wording </w:t>
      </w:r>
      <w:r w:rsidR="00B62E98" w:rsidRPr="00B62E98">
        <w:rPr>
          <w:b/>
        </w:rPr>
        <w:t>“may execute</w:t>
      </w:r>
      <w:r w:rsidR="00B62E98">
        <w:rPr>
          <w:b/>
        </w:rPr>
        <w:t xml:space="preserve"> […]</w:t>
      </w:r>
      <w:r w:rsidR="00B62E98" w:rsidRPr="00B62E98">
        <w:rPr>
          <w:b/>
        </w:rPr>
        <w:t>” for the cas</w:t>
      </w:r>
      <w:r w:rsidR="00B62E98">
        <w:rPr>
          <w:b/>
        </w:rPr>
        <w:t xml:space="preserve">e in which the target is a HNB. On the contrary, </w:t>
      </w:r>
      <w:r w:rsidR="00B62E98" w:rsidRPr="00B62E98">
        <w:rPr>
          <w:b/>
        </w:rPr>
        <w:t>in case the target is an RNC</w:t>
      </w:r>
      <w:r w:rsidR="00B62E98">
        <w:rPr>
          <w:b/>
        </w:rPr>
        <w:t>,</w:t>
      </w:r>
      <w:r w:rsidR="00B62E98" w:rsidRPr="00B62E98">
        <w:rPr>
          <w:b/>
        </w:rPr>
        <w:t xml:space="preserve"> we want to have the UE context transfer mandatory</w:t>
      </w:r>
      <w:r w:rsidR="00B62E98">
        <w:rPr>
          <w:b/>
        </w:rPr>
        <w:t xml:space="preserve"> and we used the wording “execute […]”</w:t>
      </w:r>
      <w:r w:rsidR="00B62E98" w:rsidRPr="00B62E98">
        <w:rPr>
          <w:b/>
        </w:rPr>
        <w:t>.</w:t>
      </w:r>
    </w:p>
    <w:p w:rsidR="00B62E98" w:rsidRPr="00B62E98" w:rsidRDefault="00B62E98" w:rsidP="00B62E98">
      <w:pPr>
        <w:pBdr>
          <w:top w:val="double" w:sz="4" w:space="1" w:color="auto"/>
          <w:left w:val="double" w:sz="4" w:space="4" w:color="auto"/>
          <w:bottom w:val="double" w:sz="4" w:space="1" w:color="auto"/>
          <w:right w:val="double" w:sz="4" w:space="4" w:color="auto"/>
        </w:pBdr>
        <w:tabs>
          <w:tab w:val="left" w:pos="1891"/>
        </w:tabs>
        <w:rPr>
          <w:b/>
        </w:rPr>
      </w:pPr>
      <w:r>
        <w:rPr>
          <w:b/>
        </w:rPr>
        <w:t>We notice</w:t>
      </w:r>
      <w:r w:rsidRPr="00B62E98">
        <w:rPr>
          <w:b/>
        </w:rPr>
        <w:t xml:space="preserve"> that the latest version of the Stage 2 text reported above incorrectly mentions “SRNS Relocation” (instead of “Enhanced SRNS Relocation”). This needs to be corrected in a new version of the Stage 2 CR.</w:t>
      </w:r>
    </w:p>
    <w:p w:rsidR="00C00329" w:rsidRDefault="00C00329" w:rsidP="00C00329">
      <w:pPr>
        <w:pStyle w:val="Heading2"/>
      </w:pPr>
      <w:r>
        <w:t>2.4 Determination of the procedure for dynamic Iurh establishment</w:t>
      </w:r>
    </w:p>
    <w:p w:rsidR="001D629F" w:rsidRDefault="001D629F" w:rsidP="00E65D15">
      <w:r>
        <w:t>We believed we addressed the issue of the dynamic establishment of a inter-HNB Iurh interface instance with the following wording in Step 3a in Section 5.7.x of the Stage 2 CR [3]:</w:t>
      </w:r>
    </w:p>
    <w:p w:rsidR="00E65D15" w:rsidRDefault="001D629F" w:rsidP="001D629F">
      <w:pPr>
        <w:pStyle w:val="ListParagraph"/>
      </w:pPr>
      <w:r>
        <w:t>“</w:t>
      </w:r>
      <w:r w:rsidRPr="001D629F">
        <w:rPr>
          <w:noProof/>
          <w:color w:val="FF0000"/>
        </w:rPr>
        <w:t>The HNB-GW then indicates to the target HNB whether the source HNB associated to that S-RNTI-prefix supports CELL_FACH/CELL_PCH/URA_PCH or not and, in case, all necessary information (e.g., TNL address of the source HNB) to dynamically establish the Iurh interface.</w:t>
      </w:r>
      <w:r>
        <w:t>”</w:t>
      </w:r>
    </w:p>
    <w:p w:rsidR="001D629F" w:rsidRPr="001D629F" w:rsidRDefault="001D629F" w:rsidP="001D629F">
      <w:pPr>
        <w:pBdr>
          <w:top w:val="double" w:sz="4" w:space="1" w:color="auto"/>
          <w:left w:val="double" w:sz="4" w:space="4" w:color="auto"/>
          <w:bottom w:val="double" w:sz="4" w:space="1" w:color="auto"/>
          <w:right w:val="double" w:sz="4" w:space="4" w:color="auto"/>
        </w:pBdr>
        <w:rPr>
          <w:b/>
          <w:noProof/>
        </w:rPr>
      </w:pPr>
      <w:r w:rsidRPr="001D629F">
        <w:rPr>
          <w:b/>
          <w:noProof/>
        </w:rPr>
        <w:t xml:space="preserve">However, we thank Alcatel-Lucent for their proposal in bullet 3 in Section 2 of R3-130966 [1] and if </w:t>
      </w:r>
      <w:r w:rsidR="00AA7942">
        <w:rPr>
          <w:b/>
          <w:noProof/>
        </w:rPr>
        <w:t>it is considered beneficial to have</w:t>
      </w:r>
      <w:r w:rsidRPr="001D629F">
        <w:rPr>
          <w:b/>
          <w:noProof/>
        </w:rPr>
        <w:t xml:space="preserve"> a new section w</w:t>
      </w:r>
      <w:r w:rsidR="00AA7942">
        <w:rPr>
          <w:b/>
          <w:noProof/>
        </w:rPr>
        <w:t>ith related figure</w:t>
      </w:r>
      <w:r w:rsidRPr="001D629F">
        <w:rPr>
          <w:b/>
          <w:noProof/>
        </w:rPr>
        <w:t>, we are happy to include such proposal in a new version of the Stage 2 CR.</w:t>
      </w:r>
    </w:p>
    <w:p w:rsidR="008243D2" w:rsidRDefault="007252BC" w:rsidP="008243D2">
      <w:pPr>
        <w:pStyle w:val="Heading1"/>
        <w:numPr>
          <w:ilvl w:val="0"/>
          <w:numId w:val="2"/>
        </w:numPr>
      </w:pPr>
      <w:r>
        <w:t>Conclusions and proposals</w:t>
      </w:r>
    </w:p>
    <w:p w:rsidR="001D629F" w:rsidRDefault="001D629F" w:rsidP="001D629F">
      <w:r>
        <w:t>This discussion paper addressed the open issues reported in R3-130966 [1] and</w:t>
      </w:r>
      <w:r w:rsidR="000B7DBF">
        <w:t>, based on the analysis above, the following are proposed</w:t>
      </w:r>
      <w:r>
        <w:t>:</w:t>
      </w:r>
    </w:p>
    <w:p w:rsidR="000B7DBF" w:rsidRDefault="001D629F" w:rsidP="000B7DBF">
      <w:pPr>
        <w:pStyle w:val="ListParagraph"/>
        <w:numPr>
          <w:ilvl w:val="0"/>
          <w:numId w:val="24"/>
        </w:numPr>
      </w:pPr>
      <w:r>
        <w:t>How later registering neighbours are handled and detected.</w:t>
      </w:r>
    </w:p>
    <w:p w:rsidR="001D629F" w:rsidRPr="000B7DBF" w:rsidRDefault="001D629F" w:rsidP="000B7DBF">
      <w:pPr>
        <w:ind w:left="360"/>
        <w:rPr>
          <w:b/>
        </w:rPr>
      </w:pPr>
      <w:r w:rsidRPr="000B7DBF">
        <w:rPr>
          <w:b/>
        </w:rPr>
        <w:t>Proposal</w:t>
      </w:r>
      <w:r w:rsidR="000B7DBF" w:rsidRPr="000B7DBF">
        <w:rPr>
          <w:b/>
        </w:rPr>
        <w:t xml:space="preserve"> 1</w:t>
      </w:r>
      <w:r w:rsidRPr="000B7DBF">
        <w:rPr>
          <w:b/>
        </w:rPr>
        <w:t xml:space="preserve">: </w:t>
      </w:r>
      <w:r w:rsidR="000B7DBF">
        <w:rPr>
          <w:b/>
        </w:rPr>
        <w:t xml:space="preserve">not to </w:t>
      </w:r>
      <w:r w:rsidR="000B7DBF" w:rsidRPr="000B7DBF">
        <w:rPr>
          <w:b/>
        </w:rPr>
        <w:t xml:space="preserve">add </w:t>
      </w:r>
      <w:r w:rsidR="000B7DBF">
        <w:rPr>
          <w:b/>
        </w:rPr>
        <w:t xml:space="preserve">any </w:t>
      </w:r>
      <w:r w:rsidR="000B7DBF" w:rsidRPr="000B7DBF">
        <w:rPr>
          <w:b/>
        </w:rPr>
        <w:t xml:space="preserve">new changes to the current Stage 2 and Stage 3 CRs </w:t>
      </w:r>
      <w:r w:rsidR="000B7DBF">
        <w:rPr>
          <w:b/>
        </w:rPr>
        <w:t>since</w:t>
      </w:r>
      <w:r w:rsidR="000B7DBF" w:rsidRPr="000B7DBF">
        <w:rPr>
          <w:b/>
        </w:rPr>
        <w:t xml:space="preserve"> the HNB Configuration Transfer procedure already provides</w:t>
      </w:r>
      <w:r w:rsidR="000B7DBF">
        <w:rPr>
          <w:b/>
        </w:rPr>
        <w:t xml:space="preserve"> sufficient means for </w:t>
      </w:r>
      <w:r w:rsidR="000B7DBF" w:rsidRPr="000B7DBF">
        <w:rPr>
          <w:b/>
        </w:rPr>
        <w:t xml:space="preserve">a HNB </w:t>
      </w:r>
      <w:r w:rsidR="000B7DBF">
        <w:rPr>
          <w:b/>
        </w:rPr>
        <w:t>to get</w:t>
      </w:r>
      <w:r w:rsidR="000B7DBF" w:rsidRPr="000B7DBF">
        <w:rPr>
          <w:b/>
        </w:rPr>
        <w:t xml:space="preserve"> </w:t>
      </w:r>
      <w:r w:rsidR="000B7DBF">
        <w:rPr>
          <w:b/>
        </w:rPr>
        <w:t xml:space="preserve">the necessary </w:t>
      </w:r>
      <w:r w:rsidR="000B7DBF" w:rsidRPr="000B7DBF">
        <w:rPr>
          <w:b/>
        </w:rPr>
        <w:t>neighbour information.</w:t>
      </w:r>
    </w:p>
    <w:p w:rsidR="001D629F" w:rsidRDefault="001D629F" w:rsidP="000B7DBF">
      <w:pPr>
        <w:pStyle w:val="ListParagraph"/>
        <w:numPr>
          <w:ilvl w:val="0"/>
          <w:numId w:val="24"/>
        </w:numPr>
      </w:pPr>
      <w:r>
        <w:t>Determination of whether the source HNB is a legacy HNB or not.</w:t>
      </w:r>
    </w:p>
    <w:p w:rsidR="000B7DBF" w:rsidRPr="000B7DBF" w:rsidRDefault="000B7DBF" w:rsidP="000B7DBF">
      <w:pPr>
        <w:ind w:left="360"/>
        <w:rPr>
          <w:b/>
        </w:rPr>
      </w:pPr>
      <w:r w:rsidRPr="000B7DBF">
        <w:rPr>
          <w:b/>
        </w:rPr>
        <w:lastRenderedPageBreak/>
        <w:t>Proposal 2: not to add any new changes to the current Stage 2 and Stage 3 CRs since the notes and the procedural text already describe how the target HNB or the target RNC can determine if the source is a HNB supporting CELL_FACH, CELL_PCH and URA_PCH mobility.</w:t>
      </w:r>
    </w:p>
    <w:p w:rsidR="001D629F" w:rsidRDefault="001D629F" w:rsidP="001D629F">
      <w:pPr>
        <w:pStyle w:val="ListParagraph"/>
        <w:numPr>
          <w:ilvl w:val="0"/>
          <w:numId w:val="24"/>
        </w:numPr>
      </w:pPr>
      <w:r>
        <w:t>Choose a context transfer mechanism(s).</w:t>
      </w:r>
    </w:p>
    <w:p w:rsidR="000B7DBF" w:rsidRPr="000B7DBF" w:rsidRDefault="000B7DBF" w:rsidP="000B7DBF">
      <w:pPr>
        <w:ind w:left="360"/>
        <w:rPr>
          <w:b/>
        </w:rPr>
      </w:pPr>
      <w:r w:rsidRPr="000B7DBF">
        <w:rPr>
          <w:b/>
        </w:rPr>
        <w:t>Proposal 3: only minor changes are needed in Stage 2 (i.e., replacing “SRNS Relocation” with “Enhanced SRNS Relocation”). The optionality of the context transfer is already captured in Stage 2.</w:t>
      </w:r>
    </w:p>
    <w:p w:rsidR="001D629F" w:rsidRDefault="001D629F" w:rsidP="001D629F">
      <w:pPr>
        <w:pStyle w:val="ListParagraph"/>
        <w:numPr>
          <w:ilvl w:val="0"/>
          <w:numId w:val="24"/>
        </w:numPr>
      </w:pPr>
      <w:r>
        <w:t>Determine the procedure for Iurh dynamic setup.</w:t>
      </w:r>
    </w:p>
    <w:p w:rsidR="008243D2" w:rsidRPr="00731865" w:rsidRDefault="000B7DBF" w:rsidP="000B7DBF">
      <w:pPr>
        <w:ind w:left="360"/>
        <w:rPr>
          <w:b/>
        </w:rPr>
      </w:pPr>
      <w:r w:rsidRPr="00731865">
        <w:rPr>
          <w:b/>
        </w:rPr>
        <w:t xml:space="preserve">Proposal 4: if </w:t>
      </w:r>
      <w:r w:rsidR="00AA7942">
        <w:rPr>
          <w:b/>
        </w:rPr>
        <w:t>it is considered beneficial</w:t>
      </w:r>
      <w:r w:rsidRPr="00731865">
        <w:rPr>
          <w:b/>
        </w:rPr>
        <w:t xml:space="preserve"> to have a new sub-section and a new figure in Stage 2 describing the dynamic Iurh setup, this can be based </w:t>
      </w:r>
      <w:r w:rsidR="00AA7942">
        <w:rPr>
          <w:b/>
        </w:rPr>
        <w:t xml:space="preserve">on </w:t>
      </w:r>
      <w:r w:rsidRPr="00731865">
        <w:rPr>
          <w:b/>
        </w:rPr>
        <w:t>Alcatel-Lucent’s proposal in [1].</w:t>
      </w:r>
    </w:p>
    <w:p w:rsidR="00094347" w:rsidRDefault="00094347" w:rsidP="008243D2">
      <w:pPr>
        <w:pStyle w:val="Heading1"/>
        <w:numPr>
          <w:ilvl w:val="0"/>
          <w:numId w:val="2"/>
        </w:numPr>
      </w:pPr>
      <w:r w:rsidRPr="00BB2388">
        <w:t>References</w:t>
      </w:r>
    </w:p>
    <w:p w:rsidR="006D79BD" w:rsidRPr="00BB2388" w:rsidRDefault="006D79BD" w:rsidP="006D79BD">
      <w:pPr>
        <w:ind w:left="720" w:hanging="720"/>
      </w:pPr>
      <w:r>
        <w:rPr>
          <w:lang w:eastAsia="ja-JP"/>
        </w:rPr>
        <w:t>[1]</w:t>
      </w:r>
      <w:r>
        <w:rPr>
          <w:lang w:eastAsia="ja-JP"/>
        </w:rPr>
        <w:tab/>
        <w:t>R3-130966, “</w:t>
      </w:r>
      <w:r w:rsidRPr="006D79BD">
        <w:rPr>
          <w:lang w:eastAsia="ja-JP"/>
        </w:rPr>
        <w:t>CELL_FACH support issues</w:t>
      </w:r>
      <w:r>
        <w:rPr>
          <w:lang w:eastAsia="ja-JP"/>
        </w:rPr>
        <w:t>”, Alcatel-Lucent, RAN3#80</w:t>
      </w:r>
    </w:p>
    <w:p w:rsidR="00583482" w:rsidRPr="00BB2388" w:rsidRDefault="007266A5" w:rsidP="000B36E4">
      <w:pPr>
        <w:ind w:left="720" w:hanging="720"/>
      </w:pPr>
      <w:r w:rsidRPr="00BB2388">
        <w:t>[</w:t>
      </w:r>
      <w:r w:rsidR="006D79BD">
        <w:t>2</w:t>
      </w:r>
      <w:r w:rsidRPr="00BB2388">
        <w:t>]</w:t>
      </w:r>
      <w:r w:rsidRPr="00BB2388">
        <w:tab/>
      </w:r>
      <w:r w:rsidR="00450D23" w:rsidRPr="00BB2388">
        <w:t>TR 37.803</w:t>
      </w:r>
      <w:r w:rsidR="000B36E4" w:rsidRPr="00BB2388">
        <w:t xml:space="preserve"> v11.1.0</w:t>
      </w:r>
      <w:r w:rsidR="00CF6F5B" w:rsidRPr="00BB2388">
        <w:t>,</w:t>
      </w:r>
      <w:r w:rsidR="00450D23" w:rsidRPr="00BB2388">
        <w:t xml:space="preserve"> </w:t>
      </w:r>
      <w:r w:rsidR="00CF6F5B" w:rsidRPr="00BB2388">
        <w:t>“</w:t>
      </w:r>
      <w:r w:rsidR="00450D23" w:rsidRPr="00BB2388">
        <w:t>Mobility enhancements for Home Node B (HNB) and Home enhanced Node B (HeNB)</w:t>
      </w:r>
      <w:r w:rsidR="00CF6F5B" w:rsidRPr="00BB2388">
        <w:t>”</w:t>
      </w:r>
    </w:p>
    <w:p w:rsidR="002A345A" w:rsidRPr="00BB2388" w:rsidRDefault="006D79BD" w:rsidP="000B36E4">
      <w:pPr>
        <w:ind w:left="720" w:hanging="720"/>
        <w:rPr>
          <w:lang w:eastAsia="ja-JP"/>
        </w:rPr>
      </w:pPr>
      <w:r>
        <w:t>[3</w:t>
      </w:r>
      <w:r w:rsidR="002A345A" w:rsidRPr="00BB2388">
        <w:t>]</w:t>
      </w:r>
      <w:r w:rsidR="002A345A" w:rsidRPr="00BB2388">
        <w:tab/>
        <w:t>R3-130987, “</w:t>
      </w:r>
      <w:r w:rsidR="002A345A" w:rsidRPr="00BB2388">
        <w:rPr>
          <w:lang w:eastAsia="ja-JP"/>
        </w:rPr>
        <w:t>Introduction of CELL_FACH, CELL_PCH and URA_PCH mobility support for HNBs”, CR vs. 3GPP TS 25.467, Nokia Siemens Networks, RAN3#80</w:t>
      </w:r>
    </w:p>
    <w:p w:rsidR="002A345A" w:rsidRDefault="006D79BD" w:rsidP="00232732">
      <w:pPr>
        <w:ind w:left="720" w:hanging="720"/>
        <w:rPr>
          <w:lang w:eastAsia="ja-JP"/>
        </w:rPr>
      </w:pPr>
      <w:r>
        <w:t>[4</w:t>
      </w:r>
      <w:r w:rsidR="002A345A" w:rsidRPr="00BB2388">
        <w:t>]</w:t>
      </w:r>
      <w:r w:rsidR="002A345A" w:rsidRPr="00BB2388">
        <w:tab/>
        <w:t>R3-130988, “</w:t>
      </w:r>
      <w:r w:rsidR="002A345A" w:rsidRPr="00BB2388">
        <w:rPr>
          <w:lang w:eastAsia="ja-JP"/>
        </w:rPr>
        <w:t>Introduction of CELL_FACH, CELL_PCH and URA_PCH mobility support for HNBs”, CR vs. 3GPP TS 25.469, Nokia Siemens Networks, RAN3#80</w:t>
      </w:r>
    </w:p>
    <w:p w:rsidR="006D79BD" w:rsidRDefault="008C2A04" w:rsidP="00232732">
      <w:pPr>
        <w:ind w:left="720" w:hanging="720"/>
        <w:rPr>
          <w:lang w:eastAsia="ja-JP"/>
        </w:rPr>
      </w:pPr>
      <w:r>
        <w:rPr>
          <w:lang w:eastAsia="ja-JP"/>
        </w:rPr>
        <w:t>[5</w:t>
      </w:r>
      <w:r w:rsidR="006D79BD">
        <w:rPr>
          <w:lang w:eastAsia="ja-JP"/>
        </w:rPr>
        <w:t>]</w:t>
      </w:r>
      <w:r w:rsidR="006D79BD">
        <w:rPr>
          <w:lang w:eastAsia="ja-JP"/>
        </w:rPr>
        <w:tab/>
        <w:t>R3-130986, “</w:t>
      </w:r>
      <w:r w:rsidR="006D79BD" w:rsidRPr="006D79BD">
        <w:rPr>
          <w:lang w:eastAsia="ja-JP"/>
        </w:rPr>
        <w:t>Description of the agreed solution for CELL_FACH, CELL_PCH and URA_PCH mobility and related issues</w:t>
      </w:r>
      <w:r w:rsidR="006D79BD">
        <w:rPr>
          <w:lang w:eastAsia="ja-JP"/>
        </w:rPr>
        <w:t>”, Nokia Siemens Networks, RAN3#80</w:t>
      </w:r>
    </w:p>
    <w:sectPr w:rsidR="006D79BD" w:rsidSect="00663804">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6C0E" w:rsidRDefault="00756C0E">
      <w:r>
        <w:separator/>
      </w:r>
    </w:p>
  </w:endnote>
  <w:endnote w:type="continuationSeparator" w:id="0">
    <w:p w:rsidR="00756C0E" w:rsidRDefault="00756C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6C0E" w:rsidRDefault="00756C0E">
      <w:r>
        <w:separator/>
      </w:r>
    </w:p>
  </w:footnote>
  <w:footnote w:type="continuationSeparator" w:id="0">
    <w:p w:rsidR="00756C0E" w:rsidRDefault="00756C0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001ED"/>
    <w:multiLevelType w:val="hybridMultilevel"/>
    <w:tmpl w:val="67DA97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C85664"/>
    <w:multiLevelType w:val="hybridMultilevel"/>
    <w:tmpl w:val="004E2D72"/>
    <w:lvl w:ilvl="0" w:tplc="2CF4E26C">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
    <w:nsid w:val="11F77397"/>
    <w:multiLevelType w:val="multilevel"/>
    <w:tmpl w:val="66D0913A"/>
    <w:lvl w:ilvl="0">
      <w:start w:val="1"/>
      <w:numFmt w:val="decimal"/>
      <w:lvlText w:val="Q%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27825200"/>
    <w:multiLevelType w:val="hybridMultilevel"/>
    <w:tmpl w:val="8F669E4C"/>
    <w:lvl w:ilvl="0" w:tplc="A0E053D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2C447605"/>
    <w:multiLevelType w:val="hybridMultilevel"/>
    <w:tmpl w:val="3A38EF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B704F7"/>
    <w:multiLevelType w:val="multilevel"/>
    <w:tmpl w:val="5860D27A"/>
    <w:lvl w:ilvl="0">
      <w:start w:val="2"/>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6">
    <w:nsid w:val="349C13FC"/>
    <w:multiLevelType w:val="multilevel"/>
    <w:tmpl w:val="02388A2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36965840"/>
    <w:multiLevelType w:val="hybridMultilevel"/>
    <w:tmpl w:val="CC9CF4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9BB7FFE"/>
    <w:multiLevelType w:val="hybridMultilevel"/>
    <w:tmpl w:val="33A246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CF540C7"/>
    <w:multiLevelType w:val="hybridMultilevel"/>
    <w:tmpl w:val="3A38EF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5A1646B"/>
    <w:multiLevelType w:val="hybridMultilevel"/>
    <w:tmpl w:val="6D7489AE"/>
    <w:lvl w:ilvl="0" w:tplc="9CEA55B0">
      <w:start w:val="201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9D1132B"/>
    <w:multiLevelType w:val="hybridMultilevel"/>
    <w:tmpl w:val="FBF6A1B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2">
    <w:nsid w:val="4A2711A9"/>
    <w:multiLevelType w:val="hybridMultilevel"/>
    <w:tmpl w:val="76C497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CC56089"/>
    <w:multiLevelType w:val="hybridMultilevel"/>
    <w:tmpl w:val="13D89B2E"/>
    <w:lvl w:ilvl="0" w:tplc="51FA61B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F4B297F"/>
    <w:multiLevelType w:val="hybridMultilevel"/>
    <w:tmpl w:val="C04481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0841EE0"/>
    <w:multiLevelType w:val="hybridMultilevel"/>
    <w:tmpl w:val="54EE9E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1CF427D"/>
    <w:multiLevelType w:val="hybridMultilevel"/>
    <w:tmpl w:val="9F703C28"/>
    <w:lvl w:ilvl="0" w:tplc="9CEA55B0">
      <w:start w:val="201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nsid w:val="55352483"/>
    <w:multiLevelType w:val="multilevel"/>
    <w:tmpl w:val="04090023"/>
    <w:lvl w:ilvl="0">
      <w:start w:val="1"/>
      <w:numFmt w:val="upperRoman"/>
      <w:lvlText w:val="Article %1."/>
      <w:lvlJc w:val="left"/>
      <w:pPr>
        <w:tabs>
          <w:tab w:val="num" w:pos="1440"/>
        </w:tabs>
        <w:ind w:left="0" w:firstLine="0"/>
      </w:pPr>
      <w:rPr>
        <w:rFonts w:hint="default"/>
      </w:rPr>
    </w:lvl>
    <w:lvl w:ilvl="1">
      <w:start w:val="1"/>
      <w:numFmt w:val="decimalZero"/>
      <w:isLgl/>
      <w:lvlText w:val="Section %1.%2"/>
      <w:lvlJc w:val="left"/>
      <w:pPr>
        <w:tabs>
          <w:tab w:val="num" w:pos="108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nsid w:val="61F70493"/>
    <w:multiLevelType w:val="hybridMultilevel"/>
    <w:tmpl w:val="8F669E4C"/>
    <w:lvl w:ilvl="0" w:tplc="A0E053D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698437F8"/>
    <w:multiLevelType w:val="hybridMultilevel"/>
    <w:tmpl w:val="DDDCC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5C72F34"/>
    <w:multiLevelType w:val="hybridMultilevel"/>
    <w:tmpl w:val="AA38D2EA"/>
    <w:lvl w:ilvl="0" w:tplc="E150699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D614CB2"/>
    <w:multiLevelType w:val="hybridMultilevel"/>
    <w:tmpl w:val="39607C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6"/>
  </w:num>
  <w:num w:numId="3">
    <w:abstractNumId w:val="19"/>
  </w:num>
  <w:num w:numId="4">
    <w:abstractNumId w:val="5"/>
  </w:num>
  <w:num w:numId="5">
    <w:abstractNumId w:val="7"/>
  </w:num>
  <w:num w:numId="6">
    <w:abstractNumId w:val="22"/>
  </w:num>
  <w:num w:numId="7">
    <w:abstractNumId w:val="18"/>
    <w:lvlOverride w:ilvl="0">
      <w:startOverride w:val="1"/>
    </w:lvlOverride>
  </w:num>
  <w:num w:numId="8">
    <w:abstractNumId w:val="11"/>
  </w:num>
  <w:num w:numId="9">
    <w:abstractNumId w:val="21"/>
  </w:num>
  <w:num w:numId="10">
    <w:abstractNumId w:val="12"/>
  </w:num>
  <w:num w:numId="11">
    <w:abstractNumId w:val="23"/>
  </w:num>
  <w:num w:numId="12">
    <w:abstractNumId w:val="17"/>
  </w:num>
  <w:num w:numId="13">
    <w:abstractNumId w:val="10"/>
  </w:num>
  <w:num w:numId="14">
    <w:abstractNumId w:val="8"/>
  </w:num>
  <w:num w:numId="15">
    <w:abstractNumId w:val="2"/>
  </w:num>
  <w:num w:numId="16">
    <w:abstractNumId w:val="1"/>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6"/>
  </w:num>
  <w:num w:numId="21">
    <w:abstractNumId w:val="0"/>
  </w:num>
  <w:num w:numId="22">
    <w:abstractNumId w:val="4"/>
  </w:num>
  <w:num w:numId="23">
    <w:abstractNumId w:val="13"/>
  </w:num>
  <w:num w:numId="24">
    <w:abstractNumId w:val="9"/>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attachedTemplate r:id="rId1"/>
  <w:stylePaneFormatFilter w:val="3F01"/>
  <w:defaultTabStop w:val="720"/>
  <w:characterSpacingControl w:val="doNotCompress"/>
  <w:hdrShapeDefaults>
    <o:shapedefaults v:ext="edit" spidmax="79874">
      <o:colormru v:ext="edit" colors="#fc0,#960,#630"/>
      <o:colormenu v:ext="edit" strokecolor="red"/>
    </o:shapedefaults>
  </w:hdrShapeDefaults>
  <w:footnotePr>
    <w:footnote w:id="-1"/>
    <w:footnote w:id="0"/>
  </w:footnotePr>
  <w:endnotePr>
    <w:endnote w:id="-1"/>
    <w:endnote w:id="0"/>
  </w:endnotePr>
  <w:compat>
    <w:useFELayout/>
  </w:compat>
  <w:rsids>
    <w:rsidRoot w:val="00995AE6"/>
    <w:rsid w:val="00000D8F"/>
    <w:rsid w:val="000011B4"/>
    <w:rsid w:val="0000331D"/>
    <w:rsid w:val="00003E7E"/>
    <w:rsid w:val="000151F4"/>
    <w:rsid w:val="00016521"/>
    <w:rsid w:val="00016BC4"/>
    <w:rsid w:val="0001754D"/>
    <w:rsid w:val="0002083A"/>
    <w:rsid w:val="00030478"/>
    <w:rsid w:val="00030B27"/>
    <w:rsid w:val="0003347B"/>
    <w:rsid w:val="00036DB4"/>
    <w:rsid w:val="0004217D"/>
    <w:rsid w:val="000431EF"/>
    <w:rsid w:val="0004433B"/>
    <w:rsid w:val="00047DC7"/>
    <w:rsid w:val="00050E85"/>
    <w:rsid w:val="000521F6"/>
    <w:rsid w:val="000573A2"/>
    <w:rsid w:val="00063C7F"/>
    <w:rsid w:val="00073622"/>
    <w:rsid w:val="00073C4D"/>
    <w:rsid w:val="00077051"/>
    <w:rsid w:val="00077EAB"/>
    <w:rsid w:val="00082F14"/>
    <w:rsid w:val="00086384"/>
    <w:rsid w:val="0008670A"/>
    <w:rsid w:val="000874A5"/>
    <w:rsid w:val="00087B1C"/>
    <w:rsid w:val="00087BD7"/>
    <w:rsid w:val="0009077E"/>
    <w:rsid w:val="00090F74"/>
    <w:rsid w:val="00094347"/>
    <w:rsid w:val="000A644E"/>
    <w:rsid w:val="000A6AA5"/>
    <w:rsid w:val="000B1DC3"/>
    <w:rsid w:val="000B36E4"/>
    <w:rsid w:val="000B3D8B"/>
    <w:rsid w:val="000B50CB"/>
    <w:rsid w:val="000B5D67"/>
    <w:rsid w:val="000B6702"/>
    <w:rsid w:val="000B793D"/>
    <w:rsid w:val="000B7DBF"/>
    <w:rsid w:val="000C494D"/>
    <w:rsid w:val="000C531E"/>
    <w:rsid w:val="000C5362"/>
    <w:rsid w:val="000D2A57"/>
    <w:rsid w:val="000D3876"/>
    <w:rsid w:val="000D3AC8"/>
    <w:rsid w:val="000D71D2"/>
    <w:rsid w:val="000F2409"/>
    <w:rsid w:val="000F6AE3"/>
    <w:rsid w:val="000F76E7"/>
    <w:rsid w:val="001018EE"/>
    <w:rsid w:val="00103D7B"/>
    <w:rsid w:val="001159F2"/>
    <w:rsid w:val="00115EDC"/>
    <w:rsid w:val="00127CA3"/>
    <w:rsid w:val="0013407A"/>
    <w:rsid w:val="00136DB0"/>
    <w:rsid w:val="00142531"/>
    <w:rsid w:val="00143958"/>
    <w:rsid w:val="00144FBE"/>
    <w:rsid w:val="001463A4"/>
    <w:rsid w:val="00150E77"/>
    <w:rsid w:val="00152CBB"/>
    <w:rsid w:val="00152EC8"/>
    <w:rsid w:val="00154945"/>
    <w:rsid w:val="00160304"/>
    <w:rsid w:val="00162259"/>
    <w:rsid w:val="00163FAC"/>
    <w:rsid w:val="0016432A"/>
    <w:rsid w:val="00164495"/>
    <w:rsid w:val="00166273"/>
    <w:rsid w:val="001675BF"/>
    <w:rsid w:val="001677B8"/>
    <w:rsid w:val="00167FED"/>
    <w:rsid w:val="00173632"/>
    <w:rsid w:val="00173A70"/>
    <w:rsid w:val="00175CF6"/>
    <w:rsid w:val="00175E04"/>
    <w:rsid w:val="00185588"/>
    <w:rsid w:val="00190A20"/>
    <w:rsid w:val="00194A43"/>
    <w:rsid w:val="001953B9"/>
    <w:rsid w:val="001A0AF3"/>
    <w:rsid w:val="001A4F87"/>
    <w:rsid w:val="001A5EEF"/>
    <w:rsid w:val="001B0475"/>
    <w:rsid w:val="001B2AAA"/>
    <w:rsid w:val="001B3425"/>
    <w:rsid w:val="001B443C"/>
    <w:rsid w:val="001B4943"/>
    <w:rsid w:val="001B6A13"/>
    <w:rsid w:val="001D21CD"/>
    <w:rsid w:val="001D574C"/>
    <w:rsid w:val="001D629F"/>
    <w:rsid w:val="001D7B88"/>
    <w:rsid w:val="001E06D3"/>
    <w:rsid w:val="001E4027"/>
    <w:rsid w:val="001E6934"/>
    <w:rsid w:val="001F1EB4"/>
    <w:rsid w:val="001F24AB"/>
    <w:rsid w:val="001F35DF"/>
    <w:rsid w:val="001F39CD"/>
    <w:rsid w:val="001F40C0"/>
    <w:rsid w:val="001F7089"/>
    <w:rsid w:val="0020445B"/>
    <w:rsid w:val="00204D26"/>
    <w:rsid w:val="00204FF5"/>
    <w:rsid w:val="00205A52"/>
    <w:rsid w:val="00206DDA"/>
    <w:rsid w:val="00207075"/>
    <w:rsid w:val="0021195E"/>
    <w:rsid w:val="00212D71"/>
    <w:rsid w:val="00215982"/>
    <w:rsid w:val="0021606D"/>
    <w:rsid w:val="002164EA"/>
    <w:rsid w:val="00216E35"/>
    <w:rsid w:val="00231B8A"/>
    <w:rsid w:val="0023244A"/>
    <w:rsid w:val="00232732"/>
    <w:rsid w:val="0023409C"/>
    <w:rsid w:val="00235DDA"/>
    <w:rsid w:val="002362D1"/>
    <w:rsid w:val="00237E3E"/>
    <w:rsid w:val="002446F4"/>
    <w:rsid w:val="00244DAD"/>
    <w:rsid w:val="002471F6"/>
    <w:rsid w:val="00251A8A"/>
    <w:rsid w:val="0025275E"/>
    <w:rsid w:val="00253EEA"/>
    <w:rsid w:val="0025669B"/>
    <w:rsid w:val="002567C7"/>
    <w:rsid w:val="00257294"/>
    <w:rsid w:val="0027331E"/>
    <w:rsid w:val="002741FC"/>
    <w:rsid w:val="00277226"/>
    <w:rsid w:val="00282C1C"/>
    <w:rsid w:val="00283FDC"/>
    <w:rsid w:val="00286CAC"/>
    <w:rsid w:val="002878A1"/>
    <w:rsid w:val="00287DF1"/>
    <w:rsid w:val="00292CC7"/>
    <w:rsid w:val="00294D7A"/>
    <w:rsid w:val="002969E0"/>
    <w:rsid w:val="00297FE8"/>
    <w:rsid w:val="002A1284"/>
    <w:rsid w:val="002A345A"/>
    <w:rsid w:val="002A4025"/>
    <w:rsid w:val="002A4B5C"/>
    <w:rsid w:val="002B2729"/>
    <w:rsid w:val="002B27DC"/>
    <w:rsid w:val="002B4030"/>
    <w:rsid w:val="002B5927"/>
    <w:rsid w:val="002C0A9F"/>
    <w:rsid w:val="002C49A9"/>
    <w:rsid w:val="002C5898"/>
    <w:rsid w:val="002C7336"/>
    <w:rsid w:val="002D161D"/>
    <w:rsid w:val="002D4431"/>
    <w:rsid w:val="002D4A2D"/>
    <w:rsid w:val="002D52A8"/>
    <w:rsid w:val="002D6F11"/>
    <w:rsid w:val="002E5355"/>
    <w:rsid w:val="002E5FB6"/>
    <w:rsid w:val="002F251F"/>
    <w:rsid w:val="002F45AE"/>
    <w:rsid w:val="002F725D"/>
    <w:rsid w:val="00301504"/>
    <w:rsid w:val="00306412"/>
    <w:rsid w:val="0031057D"/>
    <w:rsid w:val="00310E2F"/>
    <w:rsid w:val="0031309F"/>
    <w:rsid w:val="00313CFA"/>
    <w:rsid w:val="0031428D"/>
    <w:rsid w:val="00316952"/>
    <w:rsid w:val="00316A81"/>
    <w:rsid w:val="00316FFF"/>
    <w:rsid w:val="00321E02"/>
    <w:rsid w:val="00321E45"/>
    <w:rsid w:val="0032682B"/>
    <w:rsid w:val="003318C6"/>
    <w:rsid w:val="00333C3A"/>
    <w:rsid w:val="003357A0"/>
    <w:rsid w:val="00337F5E"/>
    <w:rsid w:val="00340A20"/>
    <w:rsid w:val="0034277D"/>
    <w:rsid w:val="00350F2D"/>
    <w:rsid w:val="00352700"/>
    <w:rsid w:val="00354CA1"/>
    <w:rsid w:val="003556F8"/>
    <w:rsid w:val="00356BE9"/>
    <w:rsid w:val="0036076F"/>
    <w:rsid w:val="003635A3"/>
    <w:rsid w:val="00370508"/>
    <w:rsid w:val="00374E6E"/>
    <w:rsid w:val="00385DA9"/>
    <w:rsid w:val="003866DA"/>
    <w:rsid w:val="00386AC4"/>
    <w:rsid w:val="00390D11"/>
    <w:rsid w:val="0039229C"/>
    <w:rsid w:val="00394C45"/>
    <w:rsid w:val="003979EC"/>
    <w:rsid w:val="003A0F63"/>
    <w:rsid w:val="003A11E5"/>
    <w:rsid w:val="003A79AB"/>
    <w:rsid w:val="003C0C16"/>
    <w:rsid w:val="003C1AD2"/>
    <w:rsid w:val="003C26A4"/>
    <w:rsid w:val="003C30ED"/>
    <w:rsid w:val="003C35FC"/>
    <w:rsid w:val="003C6764"/>
    <w:rsid w:val="003D1C38"/>
    <w:rsid w:val="003D54E8"/>
    <w:rsid w:val="003F63A6"/>
    <w:rsid w:val="003F7C52"/>
    <w:rsid w:val="0040301D"/>
    <w:rsid w:val="00406A15"/>
    <w:rsid w:val="0041001E"/>
    <w:rsid w:val="004133BB"/>
    <w:rsid w:val="004154A7"/>
    <w:rsid w:val="00417C28"/>
    <w:rsid w:val="0042043C"/>
    <w:rsid w:val="00420F6D"/>
    <w:rsid w:val="004210F2"/>
    <w:rsid w:val="00427209"/>
    <w:rsid w:val="00427884"/>
    <w:rsid w:val="004352E4"/>
    <w:rsid w:val="00441B4E"/>
    <w:rsid w:val="0044320B"/>
    <w:rsid w:val="00450D23"/>
    <w:rsid w:val="004645D7"/>
    <w:rsid w:val="00467DE7"/>
    <w:rsid w:val="00472462"/>
    <w:rsid w:val="00477FAA"/>
    <w:rsid w:val="00482262"/>
    <w:rsid w:val="00482355"/>
    <w:rsid w:val="004824B9"/>
    <w:rsid w:val="00487384"/>
    <w:rsid w:val="004901C7"/>
    <w:rsid w:val="004962DA"/>
    <w:rsid w:val="00496E85"/>
    <w:rsid w:val="004A0049"/>
    <w:rsid w:val="004A330E"/>
    <w:rsid w:val="004A6472"/>
    <w:rsid w:val="004A7D68"/>
    <w:rsid w:val="004B2DAB"/>
    <w:rsid w:val="004B3031"/>
    <w:rsid w:val="004B6E7F"/>
    <w:rsid w:val="004C30B2"/>
    <w:rsid w:val="004C5AC8"/>
    <w:rsid w:val="004C5D7C"/>
    <w:rsid w:val="004D475B"/>
    <w:rsid w:val="004D7814"/>
    <w:rsid w:val="004D7850"/>
    <w:rsid w:val="004E1030"/>
    <w:rsid w:val="004E39D5"/>
    <w:rsid w:val="004E6CD8"/>
    <w:rsid w:val="004F1A79"/>
    <w:rsid w:val="004F42FB"/>
    <w:rsid w:val="004F4DD4"/>
    <w:rsid w:val="004F6CBD"/>
    <w:rsid w:val="005008B0"/>
    <w:rsid w:val="005050CC"/>
    <w:rsid w:val="00505975"/>
    <w:rsid w:val="00507C06"/>
    <w:rsid w:val="0051452B"/>
    <w:rsid w:val="00515A10"/>
    <w:rsid w:val="00517598"/>
    <w:rsid w:val="00520383"/>
    <w:rsid w:val="00525F37"/>
    <w:rsid w:val="00526F86"/>
    <w:rsid w:val="005277AF"/>
    <w:rsid w:val="00541A2E"/>
    <w:rsid w:val="00541B99"/>
    <w:rsid w:val="0054778C"/>
    <w:rsid w:val="0055171D"/>
    <w:rsid w:val="00565A80"/>
    <w:rsid w:val="00566725"/>
    <w:rsid w:val="00571C2F"/>
    <w:rsid w:val="005742E8"/>
    <w:rsid w:val="00582A06"/>
    <w:rsid w:val="0058301D"/>
    <w:rsid w:val="00583482"/>
    <w:rsid w:val="00583EFE"/>
    <w:rsid w:val="005A25F5"/>
    <w:rsid w:val="005B1427"/>
    <w:rsid w:val="005B3ECD"/>
    <w:rsid w:val="005B43FF"/>
    <w:rsid w:val="005B4935"/>
    <w:rsid w:val="005B5CF6"/>
    <w:rsid w:val="005B679B"/>
    <w:rsid w:val="005C277A"/>
    <w:rsid w:val="005C2C49"/>
    <w:rsid w:val="005C2D0F"/>
    <w:rsid w:val="005C3203"/>
    <w:rsid w:val="005C43AF"/>
    <w:rsid w:val="005C481D"/>
    <w:rsid w:val="005C5F7D"/>
    <w:rsid w:val="005D0A63"/>
    <w:rsid w:val="005D2527"/>
    <w:rsid w:val="005D65B1"/>
    <w:rsid w:val="005E2DF6"/>
    <w:rsid w:val="005F004D"/>
    <w:rsid w:val="00600A58"/>
    <w:rsid w:val="00605B0C"/>
    <w:rsid w:val="00605FE0"/>
    <w:rsid w:val="0060777F"/>
    <w:rsid w:val="00610378"/>
    <w:rsid w:val="00610791"/>
    <w:rsid w:val="00610982"/>
    <w:rsid w:val="006119FB"/>
    <w:rsid w:val="00611BB3"/>
    <w:rsid w:val="00615B32"/>
    <w:rsid w:val="006306C4"/>
    <w:rsid w:val="0063340D"/>
    <w:rsid w:val="006360E8"/>
    <w:rsid w:val="00652F44"/>
    <w:rsid w:val="0065447E"/>
    <w:rsid w:val="00655AB5"/>
    <w:rsid w:val="00660326"/>
    <w:rsid w:val="00663804"/>
    <w:rsid w:val="00664B05"/>
    <w:rsid w:val="00670813"/>
    <w:rsid w:val="00671793"/>
    <w:rsid w:val="006749BF"/>
    <w:rsid w:val="00676068"/>
    <w:rsid w:val="0068002E"/>
    <w:rsid w:val="0068011D"/>
    <w:rsid w:val="00680536"/>
    <w:rsid w:val="00683E1E"/>
    <w:rsid w:val="00685338"/>
    <w:rsid w:val="00685E94"/>
    <w:rsid w:val="00690A98"/>
    <w:rsid w:val="00691155"/>
    <w:rsid w:val="00691F79"/>
    <w:rsid w:val="006A0DAB"/>
    <w:rsid w:val="006A1538"/>
    <w:rsid w:val="006A32F9"/>
    <w:rsid w:val="006B56CF"/>
    <w:rsid w:val="006B6802"/>
    <w:rsid w:val="006C1E59"/>
    <w:rsid w:val="006C4AA5"/>
    <w:rsid w:val="006C70D6"/>
    <w:rsid w:val="006D002E"/>
    <w:rsid w:val="006D12B7"/>
    <w:rsid w:val="006D79BD"/>
    <w:rsid w:val="006E2DF6"/>
    <w:rsid w:val="006E48D6"/>
    <w:rsid w:val="006E4C42"/>
    <w:rsid w:val="006E6F27"/>
    <w:rsid w:val="006F2163"/>
    <w:rsid w:val="006F2DDF"/>
    <w:rsid w:val="0070138F"/>
    <w:rsid w:val="0070319A"/>
    <w:rsid w:val="007043A1"/>
    <w:rsid w:val="00707D9D"/>
    <w:rsid w:val="00714970"/>
    <w:rsid w:val="00717E0E"/>
    <w:rsid w:val="007252BC"/>
    <w:rsid w:val="007266A5"/>
    <w:rsid w:val="00731865"/>
    <w:rsid w:val="00732BA6"/>
    <w:rsid w:val="007350BD"/>
    <w:rsid w:val="00741701"/>
    <w:rsid w:val="00745E26"/>
    <w:rsid w:val="00746AB9"/>
    <w:rsid w:val="00756C0E"/>
    <w:rsid w:val="0076051C"/>
    <w:rsid w:val="00760646"/>
    <w:rsid w:val="00764A00"/>
    <w:rsid w:val="00770426"/>
    <w:rsid w:val="00770A86"/>
    <w:rsid w:val="007728C9"/>
    <w:rsid w:val="007733FC"/>
    <w:rsid w:val="00773BAB"/>
    <w:rsid w:val="00777B5A"/>
    <w:rsid w:val="00784E36"/>
    <w:rsid w:val="00784F67"/>
    <w:rsid w:val="007A29DE"/>
    <w:rsid w:val="007B7A00"/>
    <w:rsid w:val="007C42DC"/>
    <w:rsid w:val="007C537E"/>
    <w:rsid w:val="007D0F86"/>
    <w:rsid w:val="007D2842"/>
    <w:rsid w:val="007E298B"/>
    <w:rsid w:val="007E343C"/>
    <w:rsid w:val="007F0B8A"/>
    <w:rsid w:val="007F1C96"/>
    <w:rsid w:val="007F27C1"/>
    <w:rsid w:val="007F43F7"/>
    <w:rsid w:val="008017DD"/>
    <w:rsid w:val="008024AC"/>
    <w:rsid w:val="00804B00"/>
    <w:rsid w:val="008126DF"/>
    <w:rsid w:val="008243D2"/>
    <w:rsid w:val="0082466E"/>
    <w:rsid w:val="008269DC"/>
    <w:rsid w:val="00830816"/>
    <w:rsid w:val="00832418"/>
    <w:rsid w:val="00833F5E"/>
    <w:rsid w:val="00837CD4"/>
    <w:rsid w:val="00842291"/>
    <w:rsid w:val="00845BF8"/>
    <w:rsid w:val="00846039"/>
    <w:rsid w:val="00853E0E"/>
    <w:rsid w:val="00860099"/>
    <w:rsid w:val="00862136"/>
    <w:rsid w:val="008641BF"/>
    <w:rsid w:val="00871338"/>
    <w:rsid w:val="008811BB"/>
    <w:rsid w:val="008873BF"/>
    <w:rsid w:val="00887584"/>
    <w:rsid w:val="008928C4"/>
    <w:rsid w:val="008A286C"/>
    <w:rsid w:val="008A2CF2"/>
    <w:rsid w:val="008A6AF8"/>
    <w:rsid w:val="008B078F"/>
    <w:rsid w:val="008B1075"/>
    <w:rsid w:val="008B1D22"/>
    <w:rsid w:val="008B4180"/>
    <w:rsid w:val="008C1258"/>
    <w:rsid w:val="008C2A04"/>
    <w:rsid w:val="008C52BA"/>
    <w:rsid w:val="008D116E"/>
    <w:rsid w:val="008D16E1"/>
    <w:rsid w:val="008D1B15"/>
    <w:rsid w:val="008D1DEA"/>
    <w:rsid w:val="008D63A6"/>
    <w:rsid w:val="008D7929"/>
    <w:rsid w:val="008E5AFA"/>
    <w:rsid w:val="008E6656"/>
    <w:rsid w:val="008E7142"/>
    <w:rsid w:val="008E75FF"/>
    <w:rsid w:val="008F1948"/>
    <w:rsid w:val="008F3999"/>
    <w:rsid w:val="008F65E6"/>
    <w:rsid w:val="008F6D76"/>
    <w:rsid w:val="008F7108"/>
    <w:rsid w:val="008F774D"/>
    <w:rsid w:val="0090282A"/>
    <w:rsid w:val="00904B82"/>
    <w:rsid w:val="00905C4A"/>
    <w:rsid w:val="00913A89"/>
    <w:rsid w:val="009153AB"/>
    <w:rsid w:val="0092230E"/>
    <w:rsid w:val="0092465B"/>
    <w:rsid w:val="00925646"/>
    <w:rsid w:val="009269D4"/>
    <w:rsid w:val="009336EE"/>
    <w:rsid w:val="00933910"/>
    <w:rsid w:val="00936C1B"/>
    <w:rsid w:val="0094017C"/>
    <w:rsid w:val="00942214"/>
    <w:rsid w:val="00944110"/>
    <w:rsid w:val="00946939"/>
    <w:rsid w:val="00946AED"/>
    <w:rsid w:val="00947E93"/>
    <w:rsid w:val="00952F77"/>
    <w:rsid w:val="00955CF1"/>
    <w:rsid w:val="00965464"/>
    <w:rsid w:val="009669F2"/>
    <w:rsid w:val="00973A9C"/>
    <w:rsid w:val="00977F2E"/>
    <w:rsid w:val="00984D4E"/>
    <w:rsid w:val="0099514F"/>
    <w:rsid w:val="00995AE6"/>
    <w:rsid w:val="00997655"/>
    <w:rsid w:val="009A1C4B"/>
    <w:rsid w:val="009A38BF"/>
    <w:rsid w:val="009A6742"/>
    <w:rsid w:val="009B0EA4"/>
    <w:rsid w:val="009B354D"/>
    <w:rsid w:val="009B3D17"/>
    <w:rsid w:val="009B4DA0"/>
    <w:rsid w:val="009B5126"/>
    <w:rsid w:val="009C3414"/>
    <w:rsid w:val="009D0CA7"/>
    <w:rsid w:val="009D3EDF"/>
    <w:rsid w:val="009D58F6"/>
    <w:rsid w:val="009E03FF"/>
    <w:rsid w:val="009E05CC"/>
    <w:rsid w:val="00A00075"/>
    <w:rsid w:val="00A01EF2"/>
    <w:rsid w:val="00A03DD8"/>
    <w:rsid w:val="00A1043C"/>
    <w:rsid w:val="00A13D1F"/>
    <w:rsid w:val="00A152B3"/>
    <w:rsid w:val="00A175A7"/>
    <w:rsid w:val="00A25A70"/>
    <w:rsid w:val="00A272EE"/>
    <w:rsid w:val="00A313FD"/>
    <w:rsid w:val="00A31F21"/>
    <w:rsid w:val="00A325D0"/>
    <w:rsid w:val="00A326BA"/>
    <w:rsid w:val="00A328B4"/>
    <w:rsid w:val="00A3649E"/>
    <w:rsid w:val="00A406EE"/>
    <w:rsid w:val="00A40C7B"/>
    <w:rsid w:val="00A5249C"/>
    <w:rsid w:val="00A56106"/>
    <w:rsid w:val="00A678DB"/>
    <w:rsid w:val="00A67EA7"/>
    <w:rsid w:val="00A71F57"/>
    <w:rsid w:val="00A73915"/>
    <w:rsid w:val="00A80E9C"/>
    <w:rsid w:val="00AA06E4"/>
    <w:rsid w:val="00AA0DF3"/>
    <w:rsid w:val="00AA3089"/>
    <w:rsid w:val="00AA7942"/>
    <w:rsid w:val="00AB5EEC"/>
    <w:rsid w:val="00AB60CC"/>
    <w:rsid w:val="00AC3F22"/>
    <w:rsid w:val="00AC7242"/>
    <w:rsid w:val="00AD192D"/>
    <w:rsid w:val="00AD6D93"/>
    <w:rsid w:val="00AD7774"/>
    <w:rsid w:val="00AE2DF8"/>
    <w:rsid w:val="00AE51FB"/>
    <w:rsid w:val="00AE5574"/>
    <w:rsid w:val="00AF64EA"/>
    <w:rsid w:val="00B0029C"/>
    <w:rsid w:val="00B019E8"/>
    <w:rsid w:val="00B10135"/>
    <w:rsid w:val="00B24C45"/>
    <w:rsid w:val="00B327FB"/>
    <w:rsid w:val="00B329BA"/>
    <w:rsid w:val="00B36D7C"/>
    <w:rsid w:val="00B41206"/>
    <w:rsid w:val="00B47425"/>
    <w:rsid w:val="00B62E98"/>
    <w:rsid w:val="00B65A16"/>
    <w:rsid w:val="00B65CE3"/>
    <w:rsid w:val="00B70681"/>
    <w:rsid w:val="00B71C72"/>
    <w:rsid w:val="00B736DE"/>
    <w:rsid w:val="00B75B47"/>
    <w:rsid w:val="00B77183"/>
    <w:rsid w:val="00B80CAD"/>
    <w:rsid w:val="00B86146"/>
    <w:rsid w:val="00B93736"/>
    <w:rsid w:val="00B944EF"/>
    <w:rsid w:val="00B95CCD"/>
    <w:rsid w:val="00B9733D"/>
    <w:rsid w:val="00BA3DA7"/>
    <w:rsid w:val="00BA5219"/>
    <w:rsid w:val="00BA5B31"/>
    <w:rsid w:val="00BA6C4E"/>
    <w:rsid w:val="00BA7660"/>
    <w:rsid w:val="00BB2388"/>
    <w:rsid w:val="00BC1050"/>
    <w:rsid w:val="00BC2FE7"/>
    <w:rsid w:val="00BC5F6D"/>
    <w:rsid w:val="00BD2845"/>
    <w:rsid w:val="00BD320E"/>
    <w:rsid w:val="00BE5B9F"/>
    <w:rsid w:val="00BE5BB3"/>
    <w:rsid w:val="00BF087D"/>
    <w:rsid w:val="00BF550A"/>
    <w:rsid w:val="00C00329"/>
    <w:rsid w:val="00C03E7A"/>
    <w:rsid w:val="00C040E7"/>
    <w:rsid w:val="00C102EC"/>
    <w:rsid w:val="00C10E6C"/>
    <w:rsid w:val="00C12551"/>
    <w:rsid w:val="00C162D5"/>
    <w:rsid w:val="00C2151A"/>
    <w:rsid w:val="00C27115"/>
    <w:rsid w:val="00C27BB6"/>
    <w:rsid w:val="00C30307"/>
    <w:rsid w:val="00C362CC"/>
    <w:rsid w:val="00C3634F"/>
    <w:rsid w:val="00C41D8C"/>
    <w:rsid w:val="00C46E96"/>
    <w:rsid w:val="00C519D6"/>
    <w:rsid w:val="00C53F5F"/>
    <w:rsid w:val="00C603DF"/>
    <w:rsid w:val="00C60EDA"/>
    <w:rsid w:val="00C6364E"/>
    <w:rsid w:val="00C67183"/>
    <w:rsid w:val="00C720C0"/>
    <w:rsid w:val="00C73BD0"/>
    <w:rsid w:val="00C748BC"/>
    <w:rsid w:val="00C77784"/>
    <w:rsid w:val="00C8043A"/>
    <w:rsid w:val="00C8045D"/>
    <w:rsid w:val="00C83E72"/>
    <w:rsid w:val="00C844B4"/>
    <w:rsid w:val="00C95412"/>
    <w:rsid w:val="00CA0146"/>
    <w:rsid w:val="00CA141D"/>
    <w:rsid w:val="00CA685C"/>
    <w:rsid w:val="00CB0202"/>
    <w:rsid w:val="00CB10F9"/>
    <w:rsid w:val="00CB679D"/>
    <w:rsid w:val="00CB70FB"/>
    <w:rsid w:val="00CB7828"/>
    <w:rsid w:val="00CC4425"/>
    <w:rsid w:val="00CC4695"/>
    <w:rsid w:val="00CC785D"/>
    <w:rsid w:val="00CC78E0"/>
    <w:rsid w:val="00CD2CFB"/>
    <w:rsid w:val="00CD3D51"/>
    <w:rsid w:val="00CD57A2"/>
    <w:rsid w:val="00CD7A1F"/>
    <w:rsid w:val="00CE01AE"/>
    <w:rsid w:val="00CE029E"/>
    <w:rsid w:val="00CE1380"/>
    <w:rsid w:val="00CF6E64"/>
    <w:rsid w:val="00CF6F5B"/>
    <w:rsid w:val="00D0530C"/>
    <w:rsid w:val="00D070A2"/>
    <w:rsid w:val="00D07CB0"/>
    <w:rsid w:val="00D108D2"/>
    <w:rsid w:val="00D157E5"/>
    <w:rsid w:val="00D21194"/>
    <w:rsid w:val="00D225DD"/>
    <w:rsid w:val="00D27B4E"/>
    <w:rsid w:val="00D33405"/>
    <w:rsid w:val="00D36124"/>
    <w:rsid w:val="00D37270"/>
    <w:rsid w:val="00D4470C"/>
    <w:rsid w:val="00D44C78"/>
    <w:rsid w:val="00D46086"/>
    <w:rsid w:val="00D46B3A"/>
    <w:rsid w:val="00D529D7"/>
    <w:rsid w:val="00D557CD"/>
    <w:rsid w:val="00D6027D"/>
    <w:rsid w:val="00D62181"/>
    <w:rsid w:val="00D63A25"/>
    <w:rsid w:val="00D64428"/>
    <w:rsid w:val="00D64454"/>
    <w:rsid w:val="00D649E3"/>
    <w:rsid w:val="00D65BB2"/>
    <w:rsid w:val="00D669E9"/>
    <w:rsid w:val="00D70B6A"/>
    <w:rsid w:val="00D71762"/>
    <w:rsid w:val="00D7692C"/>
    <w:rsid w:val="00D860BA"/>
    <w:rsid w:val="00D9185C"/>
    <w:rsid w:val="00D957E1"/>
    <w:rsid w:val="00DA3C1F"/>
    <w:rsid w:val="00DA3D1E"/>
    <w:rsid w:val="00DA6D88"/>
    <w:rsid w:val="00DA7347"/>
    <w:rsid w:val="00DB0C31"/>
    <w:rsid w:val="00DB3802"/>
    <w:rsid w:val="00DB5E2A"/>
    <w:rsid w:val="00DB75B4"/>
    <w:rsid w:val="00DC4196"/>
    <w:rsid w:val="00DD194D"/>
    <w:rsid w:val="00DD2B1D"/>
    <w:rsid w:val="00DD2FAF"/>
    <w:rsid w:val="00DD7D4D"/>
    <w:rsid w:val="00DE0DD8"/>
    <w:rsid w:val="00DE0F2D"/>
    <w:rsid w:val="00DE15B0"/>
    <w:rsid w:val="00DE23B9"/>
    <w:rsid w:val="00DE506D"/>
    <w:rsid w:val="00DE6095"/>
    <w:rsid w:val="00DE7014"/>
    <w:rsid w:val="00DF0755"/>
    <w:rsid w:val="00DF645E"/>
    <w:rsid w:val="00DF662A"/>
    <w:rsid w:val="00E02AC9"/>
    <w:rsid w:val="00E03E65"/>
    <w:rsid w:val="00E15F15"/>
    <w:rsid w:val="00E16174"/>
    <w:rsid w:val="00E20437"/>
    <w:rsid w:val="00E20DF7"/>
    <w:rsid w:val="00E250A8"/>
    <w:rsid w:val="00E26CBA"/>
    <w:rsid w:val="00E30F5B"/>
    <w:rsid w:val="00E31287"/>
    <w:rsid w:val="00E3143C"/>
    <w:rsid w:val="00E3166F"/>
    <w:rsid w:val="00E34758"/>
    <w:rsid w:val="00E35FB9"/>
    <w:rsid w:val="00E37463"/>
    <w:rsid w:val="00E37CE0"/>
    <w:rsid w:val="00E4196A"/>
    <w:rsid w:val="00E44BD4"/>
    <w:rsid w:val="00E514B4"/>
    <w:rsid w:val="00E51B53"/>
    <w:rsid w:val="00E53AA7"/>
    <w:rsid w:val="00E6138E"/>
    <w:rsid w:val="00E62450"/>
    <w:rsid w:val="00E63B0F"/>
    <w:rsid w:val="00E641C7"/>
    <w:rsid w:val="00E65867"/>
    <w:rsid w:val="00E65D15"/>
    <w:rsid w:val="00E67EEB"/>
    <w:rsid w:val="00E82857"/>
    <w:rsid w:val="00E84F5C"/>
    <w:rsid w:val="00E87D5D"/>
    <w:rsid w:val="00E9761B"/>
    <w:rsid w:val="00EA07E0"/>
    <w:rsid w:val="00EA1A07"/>
    <w:rsid w:val="00EA20E0"/>
    <w:rsid w:val="00EA7C46"/>
    <w:rsid w:val="00EB0E2E"/>
    <w:rsid w:val="00EB2EE7"/>
    <w:rsid w:val="00EB3CBA"/>
    <w:rsid w:val="00EB512B"/>
    <w:rsid w:val="00EB742C"/>
    <w:rsid w:val="00EC207C"/>
    <w:rsid w:val="00EC3364"/>
    <w:rsid w:val="00EC3A4E"/>
    <w:rsid w:val="00EC51DA"/>
    <w:rsid w:val="00EC520A"/>
    <w:rsid w:val="00EC6791"/>
    <w:rsid w:val="00EC7491"/>
    <w:rsid w:val="00ED1D84"/>
    <w:rsid w:val="00ED582F"/>
    <w:rsid w:val="00ED69A9"/>
    <w:rsid w:val="00EE300D"/>
    <w:rsid w:val="00EE3670"/>
    <w:rsid w:val="00EE3E3B"/>
    <w:rsid w:val="00EF0559"/>
    <w:rsid w:val="00EF38BF"/>
    <w:rsid w:val="00EF48B2"/>
    <w:rsid w:val="00F0366B"/>
    <w:rsid w:val="00F0665F"/>
    <w:rsid w:val="00F15579"/>
    <w:rsid w:val="00F15BE0"/>
    <w:rsid w:val="00F25119"/>
    <w:rsid w:val="00F266D6"/>
    <w:rsid w:val="00F3083F"/>
    <w:rsid w:val="00F43AE0"/>
    <w:rsid w:val="00F45040"/>
    <w:rsid w:val="00F47450"/>
    <w:rsid w:val="00F47AAC"/>
    <w:rsid w:val="00F509F0"/>
    <w:rsid w:val="00F552B4"/>
    <w:rsid w:val="00F57574"/>
    <w:rsid w:val="00F66472"/>
    <w:rsid w:val="00F67C75"/>
    <w:rsid w:val="00F74E4B"/>
    <w:rsid w:val="00F85274"/>
    <w:rsid w:val="00F85986"/>
    <w:rsid w:val="00F8728D"/>
    <w:rsid w:val="00F90404"/>
    <w:rsid w:val="00F909EE"/>
    <w:rsid w:val="00F95243"/>
    <w:rsid w:val="00F96284"/>
    <w:rsid w:val="00F96D0E"/>
    <w:rsid w:val="00FA637C"/>
    <w:rsid w:val="00FA67F6"/>
    <w:rsid w:val="00FA7687"/>
    <w:rsid w:val="00FB3409"/>
    <w:rsid w:val="00FB4AAD"/>
    <w:rsid w:val="00FB5E4B"/>
    <w:rsid w:val="00FB7C82"/>
    <w:rsid w:val="00FC3243"/>
    <w:rsid w:val="00FC48C2"/>
    <w:rsid w:val="00FC7889"/>
    <w:rsid w:val="00FD0B56"/>
    <w:rsid w:val="00FD42F6"/>
    <w:rsid w:val="00FD4706"/>
    <w:rsid w:val="00FE1B3C"/>
    <w:rsid w:val="00FE32F0"/>
    <w:rsid w:val="00FE4690"/>
    <w:rsid w:val="00FE46BE"/>
    <w:rsid w:val="00FE5A0E"/>
    <w:rsid w:val="00FF3E66"/>
    <w:rsid w:val="00FF72A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4">
      <o:colormru v:ext="edit" colors="#fc0,#960,#630"/>
      <o:colormenu v:ext="edit" strokecolor="red"/>
    </o:shapedefaults>
    <o:shapelayout v:ext="edit">
      <o:idmap v:ext="edit" data="1"/>
      <o:regrouptable v:ext="edit">
        <o:entry new="1" old="0"/>
        <o:entry new="2" old="0"/>
        <o:entry new="3" old="0"/>
        <o:entry new="4" old="3"/>
        <o:entry new="5" old="0"/>
        <o:entry new="6" old="5"/>
        <o:entry new="7" old="0"/>
        <o:entry new="8" old="7"/>
        <o:entry new="9" old="8"/>
        <o:entry new="10" old="9"/>
        <o:entry new="1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uiPriority="10" w:qFormat="1"/>
    <w:lsdException w:name="Subtitle" w:uiPriority="11"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6D88"/>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DA6D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DA6D88"/>
    <w:pPr>
      <w:pBdr>
        <w:top w:val="none" w:sz="0" w:space="0" w:color="auto"/>
      </w:pBdr>
      <w:spacing w:before="180"/>
      <w:outlineLvl w:val="1"/>
    </w:pPr>
    <w:rPr>
      <w:sz w:val="32"/>
    </w:rPr>
  </w:style>
  <w:style w:type="paragraph" w:styleId="Heading3">
    <w:name w:val="heading 3"/>
    <w:basedOn w:val="Heading2"/>
    <w:next w:val="Normal"/>
    <w:link w:val="Heading3Char"/>
    <w:qFormat/>
    <w:rsid w:val="00DA6D88"/>
    <w:pPr>
      <w:spacing w:before="120"/>
      <w:outlineLvl w:val="2"/>
    </w:pPr>
    <w:rPr>
      <w:sz w:val="28"/>
    </w:rPr>
  </w:style>
  <w:style w:type="paragraph" w:styleId="Heading4">
    <w:name w:val="heading 4"/>
    <w:basedOn w:val="Heading3"/>
    <w:next w:val="Normal"/>
    <w:link w:val="Heading4Char"/>
    <w:qFormat/>
    <w:rsid w:val="00DA6D88"/>
    <w:pPr>
      <w:ind w:left="1418" w:hanging="1418"/>
      <w:outlineLvl w:val="3"/>
    </w:pPr>
    <w:rPr>
      <w:sz w:val="24"/>
    </w:rPr>
  </w:style>
  <w:style w:type="paragraph" w:styleId="Heading5">
    <w:name w:val="heading 5"/>
    <w:basedOn w:val="Heading4"/>
    <w:next w:val="Normal"/>
    <w:link w:val="Heading5Char"/>
    <w:qFormat/>
    <w:rsid w:val="00DA6D88"/>
    <w:pPr>
      <w:ind w:left="1701" w:hanging="1701"/>
      <w:outlineLvl w:val="4"/>
    </w:pPr>
    <w:rPr>
      <w:sz w:val="22"/>
    </w:rPr>
  </w:style>
  <w:style w:type="paragraph" w:styleId="Heading6">
    <w:name w:val="heading 6"/>
    <w:basedOn w:val="Normal"/>
    <w:next w:val="Normal"/>
    <w:link w:val="Heading6Char"/>
    <w:qFormat/>
    <w:rsid w:val="00DA6D88"/>
    <w:pPr>
      <w:keepNext/>
      <w:keepLines/>
      <w:spacing w:before="120"/>
      <w:ind w:left="1985" w:hanging="1985"/>
      <w:outlineLvl w:val="5"/>
    </w:pPr>
    <w:rPr>
      <w:rFonts w:ascii="Arial" w:eastAsia="Times New Roman" w:hAnsi="Arial"/>
    </w:rPr>
  </w:style>
  <w:style w:type="paragraph" w:styleId="Heading7">
    <w:name w:val="heading 7"/>
    <w:basedOn w:val="Normal"/>
    <w:next w:val="Normal"/>
    <w:link w:val="Heading7Char"/>
    <w:qFormat/>
    <w:rsid w:val="00DA6D88"/>
    <w:pPr>
      <w:keepNext/>
      <w:keepLines/>
      <w:spacing w:before="120"/>
      <w:ind w:left="1985" w:hanging="1985"/>
      <w:outlineLvl w:val="6"/>
    </w:pPr>
    <w:rPr>
      <w:rFonts w:ascii="Arial" w:eastAsia="Times New Roman" w:hAnsi="Arial"/>
    </w:rPr>
  </w:style>
  <w:style w:type="paragraph" w:styleId="Heading8">
    <w:name w:val="heading 8"/>
    <w:basedOn w:val="Heading1"/>
    <w:next w:val="Normal"/>
    <w:link w:val="Heading8Char"/>
    <w:qFormat/>
    <w:rsid w:val="00DA6D88"/>
    <w:pPr>
      <w:ind w:left="0" w:firstLine="0"/>
      <w:outlineLvl w:val="7"/>
    </w:pPr>
  </w:style>
  <w:style w:type="paragraph" w:styleId="Heading9">
    <w:name w:val="heading 9"/>
    <w:basedOn w:val="Heading8"/>
    <w:next w:val="Normal"/>
    <w:link w:val="Heading9Char"/>
    <w:qFormat/>
    <w:rsid w:val="00DA6D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8641BF"/>
    <w:pPr>
      <w:tabs>
        <w:tab w:val="left" w:pos="1701"/>
        <w:tab w:val="right" w:pos="9639"/>
      </w:tabs>
      <w:spacing w:after="240"/>
    </w:pPr>
    <w:rPr>
      <w:b/>
      <w:sz w:val="24"/>
    </w:rPr>
  </w:style>
  <w:style w:type="paragraph" w:customStyle="1" w:styleId="Reference">
    <w:name w:val="Reference"/>
    <w:basedOn w:val="Normal"/>
    <w:rsid w:val="008D116E"/>
    <w:pPr>
      <w:numPr>
        <w:numId w:val="1"/>
      </w:numPr>
      <w:tabs>
        <w:tab w:val="left" w:pos="1701"/>
      </w:tabs>
    </w:pPr>
  </w:style>
  <w:style w:type="table" w:styleId="TableGrid">
    <w:name w:val="Table Grid"/>
    <w:basedOn w:val="TableNormal"/>
    <w:rsid w:val="00CE1380"/>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44320B"/>
    <w:pPr>
      <w:spacing w:after="200"/>
    </w:pPr>
    <w:rPr>
      <w:b/>
      <w:bCs/>
      <w:color w:val="4F81BD"/>
      <w:sz w:val="18"/>
      <w:szCs w:val="18"/>
    </w:rPr>
  </w:style>
  <w:style w:type="paragraph" w:customStyle="1" w:styleId="TH">
    <w:name w:val="TH"/>
    <w:basedOn w:val="Normal"/>
    <w:link w:val="THChar"/>
    <w:rsid w:val="002E5355"/>
    <w:pPr>
      <w:keepNext/>
      <w:keepLines/>
      <w:spacing w:before="60"/>
      <w:jc w:val="center"/>
    </w:pPr>
    <w:rPr>
      <w:rFonts w:ascii="Arial" w:eastAsia="Times New Roman" w:hAnsi="Arial"/>
      <w:b/>
      <w:lang w:eastAsia="en-US"/>
    </w:rPr>
  </w:style>
  <w:style w:type="paragraph" w:styleId="BodyText">
    <w:name w:val="Body Text"/>
    <w:aliases w:val="AvtalBrödtext, ändrad,Bodytext,ändrad,AvtalBrodtext,andrad,EHPT,Body Text2,Body3,Body Text ,Body Text level 1,Response,compact,paragraph 2,body indent,bt,Requirements,à¹×éÍàÃ×èÍ§,Bodytext1,Bodytext2,AvtalBrödtext1,ändrad1,Bodytext3,Bodytext4,à"/>
    <w:link w:val="BodyTextChar"/>
    <w:rsid w:val="001953B9"/>
    <w:pPr>
      <w:keepLines/>
      <w:tabs>
        <w:tab w:val="left" w:pos="1247"/>
        <w:tab w:val="left" w:pos="2552"/>
        <w:tab w:val="left" w:pos="3856"/>
        <w:tab w:val="left" w:pos="5216"/>
        <w:tab w:val="left" w:pos="6464"/>
        <w:tab w:val="left" w:pos="7768"/>
        <w:tab w:val="left" w:pos="9072"/>
        <w:tab w:val="left" w:pos="10206"/>
      </w:tabs>
      <w:spacing w:before="240" w:after="200" w:line="276" w:lineRule="auto"/>
      <w:ind w:left="2552"/>
    </w:pPr>
    <w:rPr>
      <w:rFonts w:ascii="Arial" w:eastAsia="Times New Roman" w:hAnsi="Arial"/>
      <w:sz w:val="22"/>
      <w:szCs w:val="22"/>
      <w:lang w:eastAsia="en-US"/>
    </w:rPr>
  </w:style>
  <w:style w:type="paragraph" w:customStyle="1" w:styleId="CaptionFigure">
    <w:name w:val="CaptionFigure"/>
    <w:next w:val="BodyText"/>
    <w:rsid w:val="001953B9"/>
    <w:pPr>
      <w:tabs>
        <w:tab w:val="left" w:pos="3686"/>
      </w:tabs>
      <w:spacing w:before="120" w:after="60" w:line="276" w:lineRule="auto"/>
      <w:ind w:left="3516" w:hanging="964"/>
    </w:pPr>
    <w:rPr>
      <w:rFonts w:ascii="Arial" w:eastAsia="Times New Roman" w:hAnsi="Arial"/>
      <w:sz w:val="22"/>
      <w:szCs w:val="22"/>
      <w:lang w:val="en-GB" w:eastAsia="en-US"/>
    </w:rPr>
  </w:style>
  <w:style w:type="paragraph" w:customStyle="1" w:styleId="CaptionTable">
    <w:name w:val="CaptionTable"/>
    <w:next w:val="BodyText"/>
    <w:rsid w:val="001953B9"/>
    <w:pPr>
      <w:tabs>
        <w:tab w:val="left" w:pos="3686"/>
      </w:tabs>
      <w:spacing w:before="120" w:after="60" w:line="276" w:lineRule="auto"/>
      <w:ind w:left="3516" w:hanging="964"/>
    </w:pPr>
    <w:rPr>
      <w:rFonts w:ascii="Arial" w:eastAsia="Times New Roman" w:hAnsi="Arial"/>
      <w:sz w:val="22"/>
      <w:szCs w:val="22"/>
      <w:lang w:val="en-GB" w:eastAsia="en-US"/>
    </w:rPr>
  </w:style>
  <w:style w:type="paragraph" w:styleId="BalloonText">
    <w:name w:val="Balloon Text"/>
    <w:basedOn w:val="Normal"/>
    <w:semiHidden/>
    <w:rsid w:val="00582A06"/>
    <w:rPr>
      <w:rFonts w:ascii="Tahoma" w:hAnsi="Tahoma" w:cs="Tahoma"/>
      <w:sz w:val="16"/>
      <w:szCs w:val="16"/>
    </w:rPr>
  </w:style>
  <w:style w:type="character" w:styleId="CommentReference">
    <w:name w:val="annotation reference"/>
    <w:basedOn w:val="DefaultParagraphFont"/>
    <w:semiHidden/>
    <w:rsid w:val="00C73BD0"/>
    <w:rPr>
      <w:sz w:val="16"/>
      <w:szCs w:val="16"/>
    </w:rPr>
  </w:style>
  <w:style w:type="paragraph" w:styleId="CommentText">
    <w:name w:val="annotation text"/>
    <w:basedOn w:val="Normal"/>
    <w:semiHidden/>
    <w:rsid w:val="00C73BD0"/>
  </w:style>
  <w:style w:type="paragraph" w:styleId="CommentSubject">
    <w:name w:val="annotation subject"/>
    <w:basedOn w:val="CommentText"/>
    <w:next w:val="CommentText"/>
    <w:semiHidden/>
    <w:rsid w:val="00C73BD0"/>
    <w:rPr>
      <w:b/>
      <w:bCs/>
    </w:rPr>
  </w:style>
  <w:style w:type="paragraph" w:styleId="NormalWeb">
    <w:name w:val="Normal (Web)"/>
    <w:basedOn w:val="Normal"/>
    <w:rsid w:val="00C41D8C"/>
    <w:pPr>
      <w:spacing w:after="0"/>
    </w:pPr>
    <w:rPr>
      <w:sz w:val="24"/>
    </w:rPr>
  </w:style>
  <w:style w:type="paragraph" w:styleId="FootnoteText">
    <w:name w:val="footnote text"/>
    <w:basedOn w:val="Normal"/>
    <w:semiHidden/>
    <w:rsid w:val="00073C4D"/>
    <w:pPr>
      <w:spacing w:after="0"/>
    </w:pPr>
    <w:rPr>
      <w:rFonts w:ascii="Arial" w:eastAsia="Times New Roman" w:hAnsi="Arial"/>
      <w:lang w:eastAsia="en-US"/>
    </w:rPr>
  </w:style>
  <w:style w:type="character" w:styleId="FootnoteReference">
    <w:name w:val="footnote reference"/>
    <w:basedOn w:val="DefaultParagraphFont"/>
    <w:semiHidden/>
    <w:rsid w:val="00073C4D"/>
    <w:rPr>
      <w:vertAlign w:val="superscript"/>
    </w:rPr>
  </w:style>
  <w:style w:type="paragraph" w:styleId="Header">
    <w:name w:val="header"/>
    <w:aliases w:val="header odd"/>
    <w:basedOn w:val="Normal"/>
    <w:link w:val="HeaderChar"/>
    <w:rsid w:val="000B793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
    <w:basedOn w:val="DefaultParagraphFont"/>
    <w:link w:val="Header"/>
    <w:rsid w:val="000B793D"/>
    <w:rPr>
      <w:sz w:val="18"/>
      <w:szCs w:val="18"/>
      <w:lang w:eastAsia="ja-JP"/>
    </w:rPr>
  </w:style>
  <w:style w:type="paragraph" w:styleId="Footer">
    <w:name w:val="footer"/>
    <w:basedOn w:val="Normal"/>
    <w:link w:val="FooterChar"/>
    <w:rsid w:val="000B793D"/>
    <w:pPr>
      <w:tabs>
        <w:tab w:val="center" w:pos="4153"/>
        <w:tab w:val="right" w:pos="8306"/>
      </w:tabs>
      <w:snapToGrid w:val="0"/>
    </w:pPr>
    <w:rPr>
      <w:sz w:val="18"/>
      <w:szCs w:val="18"/>
    </w:rPr>
  </w:style>
  <w:style w:type="character" w:customStyle="1" w:styleId="FooterChar">
    <w:name w:val="Footer Char"/>
    <w:basedOn w:val="DefaultParagraphFont"/>
    <w:link w:val="Footer"/>
    <w:rsid w:val="000B793D"/>
    <w:rPr>
      <w:sz w:val="18"/>
      <w:szCs w:val="18"/>
      <w:lang w:eastAsia="ja-JP"/>
    </w:rPr>
  </w:style>
  <w:style w:type="paragraph" w:customStyle="1" w:styleId="1">
    <w:name w:val="列出段落1"/>
    <w:basedOn w:val="Normal"/>
    <w:uiPriority w:val="34"/>
    <w:rsid w:val="000B793D"/>
    <w:pPr>
      <w:widowControl w:val="0"/>
      <w:spacing w:after="0"/>
      <w:ind w:firstLineChars="200" w:firstLine="420"/>
      <w:jc w:val="both"/>
    </w:pPr>
    <w:rPr>
      <w:rFonts w:ascii="Calibri" w:hAnsi="Calibri"/>
      <w:kern w:val="2"/>
      <w:sz w:val="21"/>
      <w:szCs w:val="22"/>
      <w:lang w:eastAsia="zh-CN"/>
    </w:rPr>
  </w:style>
  <w:style w:type="paragraph" w:customStyle="1" w:styleId="ZT">
    <w:name w:val="ZT"/>
    <w:rsid w:val="00A80E9C"/>
    <w:pPr>
      <w:framePr w:wrap="notBeside" w:hAnchor="margin" w:yAlign="center"/>
      <w:widowControl w:val="0"/>
      <w:spacing w:after="200" w:line="240" w:lineRule="atLeast"/>
      <w:jc w:val="right"/>
    </w:pPr>
    <w:rPr>
      <w:rFonts w:ascii="Arial" w:eastAsia="Times New Roman" w:hAnsi="Arial"/>
      <w:b/>
      <w:sz w:val="34"/>
      <w:szCs w:val="22"/>
      <w:lang w:val="en-GB" w:eastAsia="en-US"/>
    </w:rPr>
  </w:style>
  <w:style w:type="paragraph" w:customStyle="1" w:styleId="PL">
    <w:name w:val="PL"/>
    <w:link w:val="PLChar"/>
    <w:rsid w:val="00FE5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eastAsia="Times New Roman" w:hAnsi="Courier New"/>
      <w:noProof/>
      <w:sz w:val="16"/>
      <w:szCs w:val="22"/>
      <w:lang w:val="en-GB" w:eastAsia="ja-JP"/>
    </w:rPr>
  </w:style>
  <w:style w:type="character" w:customStyle="1" w:styleId="PLChar">
    <w:name w:val="PL Char"/>
    <w:basedOn w:val="DefaultParagraphFont"/>
    <w:link w:val="PL"/>
    <w:rsid w:val="00FE5A0E"/>
    <w:rPr>
      <w:rFonts w:ascii="Courier New" w:eastAsia="Times New Roman" w:hAnsi="Courier New"/>
      <w:noProof/>
      <w:sz w:val="16"/>
      <w:szCs w:val="22"/>
      <w:lang w:val="en-GB" w:eastAsia="ja-JP" w:bidi="ar-SA"/>
    </w:rPr>
  </w:style>
  <w:style w:type="paragraph" w:customStyle="1" w:styleId="TAL">
    <w:name w:val="TAL"/>
    <w:basedOn w:val="Normal"/>
    <w:link w:val="TALChar"/>
    <w:rsid w:val="006E6F27"/>
    <w:pPr>
      <w:keepNext/>
      <w:keepLines/>
      <w:spacing w:after="0"/>
    </w:pPr>
    <w:rPr>
      <w:rFonts w:ascii="Arial" w:eastAsia="Times New Roman" w:hAnsi="Arial"/>
      <w:sz w:val="18"/>
      <w:lang w:eastAsia="en-US"/>
    </w:rPr>
  </w:style>
  <w:style w:type="character" w:customStyle="1" w:styleId="TALChar">
    <w:name w:val="TAL Char"/>
    <w:basedOn w:val="DefaultParagraphFont"/>
    <w:link w:val="TAL"/>
    <w:rsid w:val="006E6F27"/>
    <w:rPr>
      <w:rFonts w:ascii="Arial" w:hAnsi="Arial"/>
      <w:sz w:val="18"/>
      <w:lang w:val="en-GB" w:eastAsia="en-US" w:bidi="ar-SA"/>
    </w:rPr>
  </w:style>
  <w:style w:type="paragraph" w:styleId="List2">
    <w:name w:val="List 2"/>
    <w:basedOn w:val="List"/>
    <w:rsid w:val="006E6F27"/>
    <w:pPr>
      <w:ind w:left="851" w:hanging="284"/>
    </w:pPr>
    <w:rPr>
      <w:rFonts w:eastAsia="Times New Roman"/>
      <w:lang w:eastAsia="en-US"/>
    </w:rPr>
  </w:style>
  <w:style w:type="paragraph" w:styleId="List">
    <w:name w:val="List"/>
    <w:basedOn w:val="Normal"/>
    <w:rsid w:val="006E6F27"/>
    <w:pPr>
      <w:ind w:left="283" w:hanging="283"/>
    </w:pPr>
  </w:style>
  <w:style w:type="paragraph" w:customStyle="1" w:styleId="TF">
    <w:name w:val="TF"/>
    <w:aliases w:val="left"/>
    <w:basedOn w:val="TH"/>
    <w:link w:val="TF0"/>
    <w:rsid w:val="007350BD"/>
    <w:pPr>
      <w:keepNext w:val="0"/>
      <w:spacing w:before="0" w:after="240"/>
    </w:pPr>
  </w:style>
  <w:style w:type="paragraph" w:styleId="DocumentMap">
    <w:name w:val="Document Map"/>
    <w:basedOn w:val="Normal"/>
    <w:semiHidden/>
    <w:rsid w:val="00F66472"/>
    <w:pPr>
      <w:shd w:val="clear" w:color="auto" w:fill="000080"/>
    </w:pPr>
    <w:rPr>
      <w:rFonts w:ascii="Tahoma" w:hAnsi="Tahoma" w:cs="Tahoma"/>
    </w:rPr>
  </w:style>
  <w:style w:type="character" w:styleId="Hyperlink">
    <w:name w:val="Hyperlink"/>
    <w:basedOn w:val="DefaultParagraphFont"/>
    <w:unhideWhenUsed/>
    <w:rsid w:val="009A1C4B"/>
    <w:rPr>
      <w:color w:val="0000FF"/>
      <w:u w:val="single"/>
    </w:rPr>
  </w:style>
  <w:style w:type="paragraph" w:customStyle="1" w:styleId="B1">
    <w:name w:val="B1"/>
    <w:basedOn w:val="List"/>
    <w:link w:val="B1Char"/>
    <w:rsid w:val="006A0DAB"/>
    <w:pPr>
      <w:ind w:left="568" w:hanging="284"/>
    </w:pPr>
    <w:rPr>
      <w:rFonts w:eastAsia="Times New Roman"/>
    </w:rPr>
  </w:style>
  <w:style w:type="character" w:customStyle="1" w:styleId="B1Char">
    <w:name w:val="B1 Char"/>
    <w:basedOn w:val="DefaultParagraphFont"/>
    <w:link w:val="B1"/>
    <w:rsid w:val="006A0DAB"/>
    <w:rPr>
      <w:lang w:val="en-GB" w:eastAsia="en-GB" w:bidi="ar-SA"/>
    </w:rPr>
  </w:style>
  <w:style w:type="paragraph" w:customStyle="1" w:styleId="INDENT1">
    <w:name w:val="INDENT1"/>
    <w:basedOn w:val="Normal"/>
    <w:rsid w:val="009C3414"/>
    <w:pPr>
      <w:ind w:left="851"/>
    </w:pPr>
  </w:style>
  <w:style w:type="character" w:customStyle="1" w:styleId="ZGSM">
    <w:name w:val="ZGSM"/>
    <w:rsid w:val="00860099"/>
  </w:style>
  <w:style w:type="character" w:customStyle="1" w:styleId="BodyTextChar">
    <w:name w:val="Body Text Char"/>
    <w:aliases w:val="AvtalBrödtext Char, ändrad Char,Bodytext Char,ändrad Char,AvtalBrodtext Char,andrad Char,EHPT Char,Body Text2 Char,Body3 Char,Body Text  Char,Body Text level 1 Char,Response Char,compact Char,paragraph 2 Char,body indent Char,bt Char"/>
    <w:basedOn w:val="DefaultParagraphFont"/>
    <w:link w:val="BodyText"/>
    <w:rsid w:val="005C481D"/>
    <w:rPr>
      <w:rFonts w:ascii="Arial" w:eastAsia="Times New Roman" w:hAnsi="Arial"/>
      <w:sz w:val="22"/>
      <w:szCs w:val="22"/>
      <w:lang w:val="en-US" w:eastAsia="en-US" w:bidi="ar-SA"/>
    </w:rPr>
  </w:style>
  <w:style w:type="character" w:customStyle="1" w:styleId="THChar">
    <w:name w:val="TH Char"/>
    <w:basedOn w:val="DefaultParagraphFont"/>
    <w:link w:val="TH"/>
    <w:rsid w:val="00204FF5"/>
    <w:rPr>
      <w:rFonts w:ascii="Arial" w:eastAsia="Times New Roman" w:hAnsi="Arial"/>
      <w:b/>
      <w:lang w:eastAsia="en-US"/>
    </w:rPr>
  </w:style>
  <w:style w:type="character" w:customStyle="1" w:styleId="TF0">
    <w:name w:val="TF (文字)"/>
    <w:basedOn w:val="DefaultParagraphFont"/>
    <w:link w:val="TF"/>
    <w:rsid w:val="00204FF5"/>
    <w:rPr>
      <w:rFonts w:ascii="Arial" w:eastAsia="Times New Roman" w:hAnsi="Arial"/>
      <w:b/>
      <w:lang w:eastAsia="en-US"/>
    </w:rPr>
  </w:style>
  <w:style w:type="character" w:styleId="Strong">
    <w:name w:val="Strong"/>
    <w:qFormat/>
    <w:rsid w:val="0044320B"/>
    <w:rPr>
      <w:b/>
      <w:bCs/>
    </w:rPr>
  </w:style>
  <w:style w:type="character" w:customStyle="1" w:styleId="B1Char1">
    <w:name w:val="B1 Char1"/>
    <w:basedOn w:val="DefaultParagraphFont"/>
    <w:rsid w:val="00E20DF7"/>
    <w:rPr>
      <w:lang w:val="en-GB" w:eastAsia="en-US" w:bidi="ar-SA"/>
    </w:rPr>
  </w:style>
  <w:style w:type="character" w:customStyle="1" w:styleId="Heading1Char">
    <w:name w:val="Heading 1 Char"/>
    <w:basedOn w:val="DefaultParagraphFont"/>
    <w:link w:val="Heading1"/>
    <w:rsid w:val="00DA6D88"/>
    <w:rPr>
      <w:rFonts w:ascii="Arial" w:eastAsia="Times New Roman" w:hAnsi="Arial"/>
      <w:sz w:val="36"/>
      <w:lang w:val="en-GB" w:eastAsia="en-GB" w:bidi="ar-SA"/>
    </w:rPr>
  </w:style>
  <w:style w:type="character" w:customStyle="1" w:styleId="Heading2Char">
    <w:name w:val="Heading 2 Char"/>
    <w:basedOn w:val="DefaultParagraphFont"/>
    <w:link w:val="Heading2"/>
    <w:rsid w:val="00DA6D88"/>
    <w:rPr>
      <w:rFonts w:ascii="Arial" w:eastAsia="Times New Roman" w:hAnsi="Arial" w:cs="Times New Roman"/>
      <w:sz w:val="32"/>
      <w:szCs w:val="20"/>
      <w:lang w:eastAsia="en-GB"/>
    </w:rPr>
  </w:style>
  <w:style w:type="character" w:customStyle="1" w:styleId="Heading3Char">
    <w:name w:val="Heading 3 Char"/>
    <w:basedOn w:val="DefaultParagraphFont"/>
    <w:link w:val="Heading3"/>
    <w:rsid w:val="00DA6D88"/>
    <w:rPr>
      <w:rFonts w:ascii="Arial" w:eastAsia="Times New Roman" w:hAnsi="Arial" w:cs="Times New Roman"/>
      <w:sz w:val="28"/>
      <w:szCs w:val="20"/>
      <w:lang w:eastAsia="en-GB"/>
    </w:rPr>
  </w:style>
  <w:style w:type="character" w:customStyle="1" w:styleId="Heading4Char">
    <w:name w:val="Heading 4 Char"/>
    <w:basedOn w:val="DefaultParagraphFont"/>
    <w:link w:val="Heading4"/>
    <w:rsid w:val="00DA6D88"/>
    <w:rPr>
      <w:rFonts w:ascii="Arial" w:eastAsia="Times New Roman" w:hAnsi="Arial" w:cs="Times New Roman"/>
      <w:sz w:val="24"/>
      <w:szCs w:val="20"/>
      <w:lang w:eastAsia="en-GB"/>
    </w:rPr>
  </w:style>
  <w:style w:type="character" w:customStyle="1" w:styleId="Heading5Char">
    <w:name w:val="Heading 5 Char"/>
    <w:basedOn w:val="DefaultParagraphFont"/>
    <w:link w:val="Heading5"/>
    <w:rsid w:val="00DA6D88"/>
    <w:rPr>
      <w:rFonts w:ascii="Arial" w:eastAsia="Times New Roman" w:hAnsi="Arial" w:cs="Times New Roman"/>
      <w:szCs w:val="20"/>
      <w:lang w:eastAsia="en-GB"/>
    </w:rPr>
  </w:style>
  <w:style w:type="character" w:customStyle="1" w:styleId="Heading6Char">
    <w:name w:val="Heading 6 Char"/>
    <w:basedOn w:val="DefaultParagraphFont"/>
    <w:link w:val="Heading6"/>
    <w:rsid w:val="00DA6D88"/>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DA6D88"/>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DA6D88"/>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DA6D88"/>
    <w:rPr>
      <w:rFonts w:ascii="Arial" w:eastAsia="Times New Roman" w:hAnsi="Arial" w:cs="Times New Roman"/>
      <w:sz w:val="36"/>
      <w:szCs w:val="20"/>
      <w:lang w:eastAsia="en-GB"/>
    </w:rPr>
  </w:style>
  <w:style w:type="paragraph" w:styleId="Title">
    <w:name w:val="Title"/>
    <w:basedOn w:val="Normal"/>
    <w:next w:val="Normal"/>
    <w:link w:val="TitleChar"/>
    <w:uiPriority w:val="10"/>
    <w:qFormat/>
    <w:rsid w:val="0044320B"/>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TitleChar">
    <w:name w:val="Title Char"/>
    <w:basedOn w:val="DefaultParagraphFont"/>
    <w:link w:val="Title"/>
    <w:uiPriority w:val="10"/>
    <w:rsid w:val="0044320B"/>
    <w:rPr>
      <w:rFonts w:ascii="Cambria" w:eastAsia="Times New Roman" w:hAnsi="Cambria" w:cs="Times New Roman"/>
      <w:color w:val="17365D"/>
      <w:spacing w:val="5"/>
      <w:kern w:val="28"/>
      <w:sz w:val="52"/>
      <w:szCs w:val="52"/>
      <w:lang w:eastAsia="en-GB"/>
    </w:rPr>
  </w:style>
  <w:style w:type="paragraph" w:styleId="Subtitle">
    <w:name w:val="Subtitle"/>
    <w:basedOn w:val="Normal"/>
    <w:next w:val="Normal"/>
    <w:link w:val="SubtitleChar"/>
    <w:uiPriority w:val="11"/>
    <w:qFormat/>
    <w:rsid w:val="0044320B"/>
    <w:pPr>
      <w:numPr>
        <w:ilvl w:val="1"/>
      </w:numPr>
    </w:pPr>
    <w:rPr>
      <w:rFonts w:ascii="Cambria" w:eastAsia="Times New Roman" w:hAnsi="Cambria"/>
      <w:i/>
      <w:iCs/>
      <w:color w:val="4F81BD"/>
      <w:spacing w:val="15"/>
      <w:sz w:val="24"/>
      <w:szCs w:val="24"/>
    </w:rPr>
  </w:style>
  <w:style w:type="character" w:customStyle="1" w:styleId="SubtitleChar">
    <w:name w:val="Subtitle Char"/>
    <w:basedOn w:val="DefaultParagraphFont"/>
    <w:link w:val="Subtitle"/>
    <w:uiPriority w:val="11"/>
    <w:rsid w:val="0044320B"/>
    <w:rPr>
      <w:rFonts w:ascii="Cambria" w:eastAsia="Times New Roman" w:hAnsi="Cambria" w:cs="Times New Roman"/>
      <w:i/>
      <w:iCs/>
      <w:color w:val="4F81BD"/>
      <w:spacing w:val="15"/>
      <w:sz w:val="24"/>
      <w:szCs w:val="24"/>
      <w:lang w:eastAsia="en-GB"/>
    </w:rPr>
  </w:style>
  <w:style w:type="character" w:styleId="Emphasis">
    <w:name w:val="Emphasis"/>
    <w:uiPriority w:val="20"/>
    <w:qFormat/>
    <w:rsid w:val="0044320B"/>
    <w:rPr>
      <w:i/>
      <w:iCs/>
    </w:rPr>
  </w:style>
  <w:style w:type="paragraph" w:styleId="NoSpacing">
    <w:name w:val="No Spacing"/>
    <w:basedOn w:val="Normal"/>
    <w:uiPriority w:val="1"/>
    <w:qFormat/>
    <w:rsid w:val="0044320B"/>
    <w:pPr>
      <w:spacing w:after="0"/>
    </w:pPr>
  </w:style>
  <w:style w:type="paragraph" w:styleId="ListParagraph">
    <w:name w:val="List Paragraph"/>
    <w:basedOn w:val="Normal"/>
    <w:uiPriority w:val="34"/>
    <w:qFormat/>
    <w:rsid w:val="0044320B"/>
    <w:pPr>
      <w:ind w:left="720"/>
      <w:contextualSpacing/>
    </w:pPr>
  </w:style>
  <w:style w:type="paragraph" w:styleId="Quote">
    <w:name w:val="Quote"/>
    <w:basedOn w:val="Normal"/>
    <w:next w:val="Normal"/>
    <w:link w:val="QuoteChar"/>
    <w:uiPriority w:val="29"/>
    <w:qFormat/>
    <w:rsid w:val="0044320B"/>
    <w:rPr>
      <w:i/>
      <w:iCs/>
      <w:color w:val="000000"/>
    </w:rPr>
  </w:style>
  <w:style w:type="character" w:customStyle="1" w:styleId="QuoteChar">
    <w:name w:val="Quote Char"/>
    <w:basedOn w:val="DefaultParagraphFont"/>
    <w:link w:val="Quote"/>
    <w:uiPriority w:val="29"/>
    <w:rsid w:val="0044320B"/>
    <w:rPr>
      <w:rFonts w:ascii="Times New Roman" w:hAnsi="Times New Roman"/>
      <w:i/>
      <w:iCs/>
      <w:color w:val="000000"/>
      <w:sz w:val="20"/>
      <w:szCs w:val="20"/>
      <w:lang w:eastAsia="en-GB"/>
    </w:rPr>
  </w:style>
  <w:style w:type="paragraph" w:styleId="IntenseQuote">
    <w:name w:val="Intense Quote"/>
    <w:basedOn w:val="Normal"/>
    <w:next w:val="Normal"/>
    <w:link w:val="IntenseQuoteChar"/>
    <w:uiPriority w:val="30"/>
    <w:qFormat/>
    <w:rsid w:val="0044320B"/>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4320B"/>
    <w:rPr>
      <w:rFonts w:ascii="Times New Roman" w:hAnsi="Times New Roman"/>
      <w:b/>
      <w:bCs/>
      <w:i/>
      <w:iCs/>
      <w:color w:val="4F81BD"/>
      <w:sz w:val="20"/>
      <w:szCs w:val="20"/>
      <w:lang w:eastAsia="en-GB"/>
    </w:rPr>
  </w:style>
  <w:style w:type="character" w:styleId="SubtleEmphasis">
    <w:name w:val="Subtle Emphasis"/>
    <w:uiPriority w:val="19"/>
    <w:qFormat/>
    <w:rsid w:val="0044320B"/>
    <w:rPr>
      <w:i/>
      <w:iCs/>
      <w:color w:val="808080"/>
    </w:rPr>
  </w:style>
  <w:style w:type="character" w:styleId="IntenseEmphasis">
    <w:name w:val="Intense Emphasis"/>
    <w:uiPriority w:val="21"/>
    <w:qFormat/>
    <w:rsid w:val="0044320B"/>
    <w:rPr>
      <w:b/>
      <w:bCs/>
      <w:i/>
      <w:iCs/>
      <w:color w:val="4F81BD"/>
    </w:rPr>
  </w:style>
  <w:style w:type="character" w:styleId="SubtleReference">
    <w:name w:val="Subtle Reference"/>
    <w:uiPriority w:val="31"/>
    <w:qFormat/>
    <w:rsid w:val="0044320B"/>
    <w:rPr>
      <w:smallCaps/>
      <w:color w:val="C0504D"/>
      <w:u w:val="single"/>
    </w:rPr>
  </w:style>
  <w:style w:type="character" w:styleId="IntenseReference">
    <w:name w:val="Intense Reference"/>
    <w:uiPriority w:val="32"/>
    <w:qFormat/>
    <w:rsid w:val="0044320B"/>
    <w:rPr>
      <w:b/>
      <w:bCs/>
      <w:smallCaps/>
      <w:color w:val="C0504D"/>
      <w:spacing w:val="5"/>
      <w:u w:val="single"/>
    </w:rPr>
  </w:style>
  <w:style w:type="character" w:styleId="BookTitle">
    <w:name w:val="Book Title"/>
    <w:uiPriority w:val="33"/>
    <w:qFormat/>
    <w:rsid w:val="0044320B"/>
    <w:rPr>
      <w:b/>
      <w:bCs/>
      <w:smallCaps/>
      <w:spacing w:val="5"/>
    </w:rPr>
  </w:style>
  <w:style w:type="paragraph" w:styleId="TOCHeading">
    <w:name w:val="TOC Heading"/>
    <w:basedOn w:val="Heading1"/>
    <w:next w:val="Normal"/>
    <w:uiPriority w:val="39"/>
    <w:semiHidden/>
    <w:unhideWhenUsed/>
    <w:qFormat/>
    <w:rsid w:val="0044320B"/>
    <w:pPr>
      <w:pBdr>
        <w:top w:val="none" w:sz="0" w:space="0" w:color="auto"/>
      </w:pBdr>
      <w:spacing w:before="480" w:after="0"/>
      <w:ind w:left="0" w:firstLine="0"/>
      <w:outlineLvl w:val="9"/>
    </w:pPr>
    <w:rPr>
      <w:rFonts w:ascii="Cambria" w:hAnsi="Cambria"/>
      <w:b/>
      <w:bCs/>
      <w:color w:val="365F91"/>
      <w:sz w:val="28"/>
      <w:szCs w:val="28"/>
    </w:rPr>
  </w:style>
  <w:style w:type="paragraph" w:styleId="Revision">
    <w:name w:val="Revision"/>
    <w:hidden/>
    <w:uiPriority w:val="99"/>
    <w:semiHidden/>
    <w:rsid w:val="00EB3CBA"/>
    <w:rPr>
      <w:rFonts w:ascii="Times New Roman" w:hAnsi="Times New Roman"/>
      <w:lang w:val="en-GB" w:eastAsia="en-GB"/>
    </w:rPr>
  </w:style>
  <w:style w:type="paragraph" w:customStyle="1" w:styleId="CRCoverPage">
    <w:name w:val="CR Cover Page"/>
    <w:rsid w:val="00D64428"/>
    <w:pPr>
      <w:spacing w:after="120"/>
    </w:pPr>
    <w:rPr>
      <w:rFonts w:ascii="Arial" w:eastAsia="MS Mincho" w:hAnsi="Arial"/>
      <w:lang w:val="en-GB" w:eastAsia="en-US"/>
    </w:rPr>
  </w:style>
  <w:style w:type="paragraph" w:customStyle="1" w:styleId="references">
    <w:name w:val="references"/>
    <w:basedOn w:val="Normal"/>
    <w:rsid w:val="0001754D"/>
    <w:pPr>
      <w:numPr>
        <w:numId w:val="7"/>
      </w:numPr>
      <w:overflowPunct/>
      <w:autoSpaceDE/>
      <w:autoSpaceDN/>
      <w:adjustRightInd/>
      <w:spacing w:after="50" w:line="180" w:lineRule="exact"/>
      <w:jc w:val="both"/>
      <w:textAlignment w:val="auto"/>
    </w:pPr>
    <w:rPr>
      <w:sz w:val="16"/>
      <w:szCs w:val="16"/>
      <w:lang w:val="en-US" w:eastAsia="en-US"/>
    </w:rPr>
  </w:style>
  <w:style w:type="paragraph" w:customStyle="1" w:styleId="NO">
    <w:name w:val="NO"/>
    <w:basedOn w:val="Normal"/>
    <w:link w:val="NOChar"/>
    <w:rsid w:val="00804B00"/>
    <w:pPr>
      <w:keepLines/>
      <w:overflowPunct/>
      <w:autoSpaceDE/>
      <w:autoSpaceDN/>
      <w:adjustRightInd/>
      <w:ind w:left="1135" w:hanging="851"/>
      <w:textAlignment w:val="auto"/>
    </w:pPr>
    <w:rPr>
      <w:rFonts w:eastAsia="Times New Roman"/>
    </w:rPr>
  </w:style>
  <w:style w:type="character" w:customStyle="1" w:styleId="NOChar">
    <w:name w:val="NO Char"/>
    <w:link w:val="NO"/>
    <w:rsid w:val="00804B00"/>
    <w:rPr>
      <w:rFonts w:ascii="Times New Roman" w:eastAsia="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51005515">
      <w:bodyDiv w:val="1"/>
      <w:marLeft w:val="0"/>
      <w:marRight w:val="0"/>
      <w:marTop w:val="0"/>
      <w:marBottom w:val="0"/>
      <w:divBdr>
        <w:top w:val="none" w:sz="0" w:space="0" w:color="auto"/>
        <w:left w:val="none" w:sz="0" w:space="0" w:color="auto"/>
        <w:bottom w:val="none" w:sz="0" w:space="0" w:color="auto"/>
        <w:right w:val="none" w:sz="0" w:space="0" w:color="auto"/>
      </w:divBdr>
    </w:div>
    <w:div w:id="202132915">
      <w:bodyDiv w:val="1"/>
      <w:marLeft w:val="0"/>
      <w:marRight w:val="0"/>
      <w:marTop w:val="0"/>
      <w:marBottom w:val="0"/>
      <w:divBdr>
        <w:top w:val="none" w:sz="0" w:space="0" w:color="auto"/>
        <w:left w:val="none" w:sz="0" w:space="0" w:color="auto"/>
        <w:bottom w:val="none" w:sz="0" w:space="0" w:color="auto"/>
        <w:right w:val="none" w:sz="0" w:space="0" w:color="auto"/>
      </w:divBdr>
    </w:div>
    <w:div w:id="234248113">
      <w:bodyDiv w:val="1"/>
      <w:marLeft w:val="0"/>
      <w:marRight w:val="0"/>
      <w:marTop w:val="0"/>
      <w:marBottom w:val="0"/>
      <w:divBdr>
        <w:top w:val="none" w:sz="0" w:space="0" w:color="auto"/>
        <w:left w:val="none" w:sz="0" w:space="0" w:color="auto"/>
        <w:bottom w:val="none" w:sz="0" w:space="0" w:color="auto"/>
        <w:right w:val="none" w:sz="0" w:space="0" w:color="auto"/>
      </w:divBdr>
    </w:div>
    <w:div w:id="758403645">
      <w:bodyDiv w:val="1"/>
      <w:marLeft w:val="0"/>
      <w:marRight w:val="0"/>
      <w:marTop w:val="0"/>
      <w:marBottom w:val="0"/>
      <w:divBdr>
        <w:top w:val="none" w:sz="0" w:space="0" w:color="auto"/>
        <w:left w:val="none" w:sz="0" w:space="0" w:color="auto"/>
        <w:bottom w:val="none" w:sz="0" w:space="0" w:color="auto"/>
        <w:right w:val="none" w:sz="0" w:space="0" w:color="auto"/>
      </w:divBdr>
    </w:div>
    <w:div w:id="1342269971">
      <w:bodyDiv w:val="1"/>
      <w:marLeft w:val="0"/>
      <w:marRight w:val="0"/>
      <w:marTop w:val="0"/>
      <w:marBottom w:val="0"/>
      <w:divBdr>
        <w:top w:val="none" w:sz="0" w:space="0" w:color="auto"/>
        <w:left w:val="none" w:sz="0" w:space="0" w:color="auto"/>
        <w:bottom w:val="none" w:sz="0" w:space="0" w:color="auto"/>
        <w:right w:val="none" w:sz="0" w:space="0" w:color="auto"/>
      </w:divBdr>
    </w:div>
    <w:div w:id="1471946579">
      <w:bodyDiv w:val="1"/>
      <w:marLeft w:val="0"/>
      <w:marRight w:val="0"/>
      <w:marTop w:val="0"/>
      <w:marBottom w:val="0"/>
      <w:divBdr>
        <w:top w:val="none" w:sz="0" w:space="0" w:color="auto"/>
        <w:left w:val="none" w:sz="0" w:space="0" w:color="auto"/>
        <w:bottom w:val="none" w:sz="0" w:space="0" w:color="auto"/>
        <w:right w:val="none" w:sz="0" w:space="0" w:color="auto"/>
      </w:divBdr>
    </w:div>
    <w:div w:id="1570114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eigmas\Documents\in_giro\74_San_Francisco\eri_disc_paper_template_glm_ZUH.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576898-20B4-4C45-AD87-4C846E057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eri_disc_paper_template_glm_ZUH.dot</Template>
  <TotalTime>187</TotalTime>
  <Pages>4</Pages>
  <Words>1540</Words>
  <Characters>8783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TSG-RAN WG3 #74</vt:lpstr>
    </vt:vector>
  </TitlesOfParts>
  <Company>Alcatel-Lucent</Company>
  <LinksUpToDate>false</LinksUpToDate>
  <CharactersWithSpaces>10303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#74</dc:title>
  <dc:creator>Martin Warner</dc:creator>
  <cp:lastModifiedBy>Dario Serafino Tonesi</cp:lastModifiedBy>
  <cp:revision>23</cp:revision>
  <dcterms:created xsi:type="dcterms:W3CDTF">2013-05-01T17:45:00Z</dcterms:created>
  <dcterms:modified xsi:type="dcterms:W3CDTF">2013-05-16T13:30:00Z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1366286079</vt:lpwstr>
  </property>
</Properties>
</file>